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FF" w:rsidRDefault="00F601A4">
      <w:pPr>
        <w:tabs>
          <w:tab w:val="left" w:pos="3405"/>
        </w:tabs>
        <w:jc w:val="center"/>
      </w:pPr>
      <w:r>
        <w:t>ИЗВЕЩЕНИЕ</w:t>
      </w:r>
    </w:p>
    <w:p w:rsidR="00346CFF" w:rsidRDefault="00F601A4">
      <w:pPr>
        <w:jc w:val="center"/>
      </w:pPr>
      <w:r>
        <w:t>о проведении открытого аукциона на право заключения договор</w:t>
      </w:r>
      <w:r w:rsidR="00EB3E61">
        <w:t>ов</w:t>
      </w:r>
      <w:r>
        <w:t xml:space="preserve"> аренды земельн</w:t>
      </w:r>
      <w:r w:rsidR="00EB3E61">
        <w:t>ых</w:t>
      </w:r>
      <w:r>
        <w:t xml:space="preserve"> участк</w:t>
      </w:r>
      <w:r w:rsidR="00EB3E61">
        <w:t>ов</w:t>
      </w:r>
      <w:r>
        <w:t>, находящ</w:t>
      </w:r>
      <w:r w:rsidR="00EB3E61">
        <w:t xml:space="preserve">ихся </w:t>
      </w:r>
      <w:r>
        <w:t>в государственной собственности (не разграниченной) на территории Новониколаевского городского поселения</w:t>
      </w:r>
    </w:p>
    <w:p w:rsidR="00346CFF" w:rsidRDefault="00346CFF">
      <w:pPr>
        <w:suppressAutoHyphens w:val="0"/>
        <w:ind w:left="-709" w:firstLine="425"/>
        <w:jc w:val="center"/>
      </w:pPr>
    </w:p>
    <w:p w:rsidR="00346CFF" w:rsidRDefault="00F601A4">
      <w:pPr>
        <w:ind w:left="-709" w:hanging="709"/>
        <w:jc w:val="both"/>
      </w:pPr>
      <w:r>
        <w:tab/>
        <w:t xml:space="preserve">     </w:t>
      </w:r>
      <w:proofErr w:type="gramStart"/>
      <w:r>
        <w:t xml:space="preserve">Организатор торгов, уполномоченный орган по проведению открытого аукциона — администрация Новониколаевского городского поселения Новониколаевского муниципального района Волгоградской области проводит торги в  соответствии со ст. 39.11, 39.12 Земельного кодекса Российской Федерации, постановлением администрации Новониколаевского городского поселения от </w:t>
      </w:r>
      <w:r w:rsidR="003437D9">
        <w:t>25</w:t>
      </w:r>
      <w:r>
        <w:t>.0</w:t>
      </w:r>
      <w:r w:rsidR="003437D9">
        <w:t>4</w:t>
      </w:r>
      <w:r>
        <w:t xml:space="preserve">.2019 года № </w:t>
      </w:r>
      <w:r w:rsidR="003437D9">
        <w:t>107</w:t>
      </w:r>
      <w:r w:rsidR="002F0227">
        <w:t xml:space="preserve"> </w:t>
      </w:r>
      <w:r>
        <w:t>«О проведении открытого аукциона на право заключения договор</w:t>
      </w:r>
      <w:r w:rsidR="00EB3E61">
        <w:t>ов</w:t>
      </w:r>
      <w:r>
        <w:t xml:space="preserve"> аренды земельн</w:t>
      </w:r>
      <w:r w:rsidR="00EB3E61">
        <w:t>ых</w:t>
      </w:r>
      <w:r>
        <w:t xml:space="preserve"> участк</w:t>
      </w:r>
      <w:r w:rsidR="00EB3E61">
        <w:t>ов</w:t>
      </w:r>
      <w:r>
        <w:t>, находящ</w:t>
      </w:r>
      <w:r w:rsidR="00EB3E61">
        <w:t xml:space="preserve">ихся </w:t>
      </w:r>
      <w:r>
        <w:t>в государственной (не разграниченной) собственности, из земель населенных пунктов на</w:t>
      </w:r>
      <w:proofErr w:type="gramEnd"/>
      <w:r>
        <w:t xml:space="preserve"> территории Новониколаевского городского поселения».</w:t>
      </w:r>
    </w:p>
    <w:p w:rsidR="00346CFF" w:rsidRDefault="00F601A4">
      <w:pPr>
        <w:ind w:left="-709"/>
        <w:jc w:val="both"/>
      </w:pPr>
      <w:r>
        <w:t>Предмет аукциона: право заключения договор</w:t>
      </w:r>
      <w:r w:rsidR="00EB3E61">
        <w:t>ов</w:t>
      </w:r>
      <w:r>
        <w:t xml:space="preserve"> аренды земельн</w:t>
      </w:r>
      <w:r w:rsidR="00EB3E61">
        <w:t xml:space="preserve">ых </w:t>
      </w:r>
      <w:r>
        <w:t>участк</w:t>
      </w:r>
      <w:r w:rsidR="00EB3E61">
        <w:t>ов</w:t>
      </w:r>
      <w:r>
        <w:t xml:space="preserve">. </w:t>
      </w:r>
    </w:p>
    <w:p w:rsidR="00346CFF" w:rsidRPr="005B5F76" w:rsidRDefault="00F601A4">
      <w:pPr>
        <w:ind w:left="-709"/>
        <w:jc w:val="both"/>
      </w:pPr>
      <w:r>
        <w:t xml:space="preserve">- </w:t>
      </w:r>
      <w:r w:rsidRPr="00082255">
        <w:rPr>
          <w:b/>
        </w:rPr>
        <w:t>лот № 1</w:t>
      </w:r>
      <w:r>
        <w:rPr>
          <w:b/>
        </w:rPr>
        <w:t xml:space="preserve"> </w:t>
      </w:r>
      <w:r>
        <w:t xml:space="preserve">  - </w:t>
      </w:r>
      <w:r>
        <w:rPr>
          <w:b/>
        </w:rPr>
        <w:t xml:space="preserve"> </w:t>
      </w:r>
      <w:r>
        <w:t>адрес (описание местоположения):  земельный участок с кадастровым номером 34:20:03010</w:t>
      </w:r>
      <w:r w:rsidR="003437D9">
        <w:t>6</w:t>
      </w:r>
      <w:r>
        <w:t>:</w:t>
      </w:r>
      <w:r w:rsidR="003437D9">
        <w:t>2007</w:t>
      </w:r>
      <w:r w:rsidR="002F0227">
        <w:t xml:space="preserve">, </w:t>
      </w:r>
      <w:r>
        <w:t>местоположение:</w:t>
      </w:r>
      <w:r w:rsidR="002F0227">
        <w:t xml:space="preserve"> Россия,</w:t>
      </w:r>
      <w:r>
        <w:t xml:space="preserve"> обл</w:t>
      </w:r>
      <w:proofErr w:type="gramStart"/>
      <w:r>
        <w:t>.В</w:t>
      </w:r>
      <w:proofErr w:type="gramEnd"/>
      <w:r>
        <w:t xml:space="preserve">олгоградская, р-н Новониколаевский, </w:t>
      </w:r>
      <w:proofErr w:type="spellStart"/>
      <w:r>
        <w:t>р.п.Но</w:t>
      </w:r>
      <w:r w:rsidR="002F0227">
        <w:t>-</w:t>
      </w:r>
      <w:r>
        <w:t>вониколаевский</w:t>
      </w:r>
      <w:proofErr w:type="spellEnd"/>
      <w:r>
        <w:t xml:space="preserve">, </w:t>
      </w:r>
      <w:r w:rsidR="003437D9">
        <w:t>примыкает с южной стороны к ул. Промышленной, 24</w:t>
      </w:r>
      <w:r w:rsidR="002F0227">
        <w:t>,</w:t>
      </w:r>
      <w:r>
        <w:t xml:space="preserve"> площадь участка </w:t>
      </w:r>
      <w:r w:rsidR="003437D9">
        <w:t>500</w:t>
      </w:r>
      <w:r w:rsidR="00AE165E">
        <w:t>,00</w:t>
      </w:r>
      <w:r w:rsidR="002F0227">
        <w:t>(</w:t>
      </w:r>
      <w:r w:rsidR="003437D9">
        <w:t>пятьсот</w:t>
      </w:r>
      <w:r w:rsidR="002F0227">
        <w:t>)</w:t>
      </w:r>
      <w:r>
        <w:t xml:space="preserve"> кв.м., в границах указанных в кадастровом паспорте, вид разрешенного использования «</w:t>
      </w:r>
      <w:r w:rsidR="003437D9">
        <w:t>для автостоянки на отдельном земельном участке»</w:t>
      </w:r>
      <w:r w:rsidR="002F0227">
        <w:t>,</w:t>
      </w:r>
      <w:r>
        <w:t xml:space="preserve"> категория земель «земли населенных пунктов».</w:t>
      </w:r>
      <w:r w:rsidR="00ED1A5C">
        <w:t xml:space="preserve"> </w:t>
      </w:r>
      <w:r w:rsidR="005B5F76" w:rsidRPr="005B5F76">
        <w:t>С</w:t>
      </w:r>
      <w:r w:rsidR="00ED1A5C" w:rsidRPr="005B5F76">
        <w:t>рок действия договора аренды земельного участка 15 (пятнадцать) лет с момента заключения</w:t>
      </w:r>
      <w:r w:rsidR="005B5F76">
        <w:t>.</w:t>
      </w:r>
    </w:p>
    <w:tbl>
      <w:tblPr>
        <w:tblW w:w="9930" w:type="dxa"/>
        <w:tblInd w:w="-726" w:type="dxa"/>
        <w:tblBorders>
          <w:top w:val="single" w:sz="4" w:space="0" w:color="000001"/>
          <w:left w:val="single" w:sz="4" w:space="0" w:color="000001"/>
          <w:bottom w:val="single" w:sz="4" w:space="0" w:color="000001"/>
          <w:insideH w:val="single" w:sz="4" w:space="0" w:color="000001"/>
        </w:tblBorders>
        <w:tblCellMar>
          <w:left w:w="-5" w:type="dxa"/>
        </w:tblCellMar>
        <w:tblLook w:val="04A0"/>
      </w:tblPr>
      <w:tblGrid>
        <w:gridCol w:w="3737"/>
        <w:gridCol w:w="3192"/>
        <w:gridCol w:w="3001"/>
      </w:tblGrid>
      <w:tr w:rsidR="00346CFF">
        <w:trPr>
          <w:trHeight w:val="144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346CFF" w:rsidRDefault="00F601A4">
            <w:pPr>
              <w:ind w:right="-2"/>
              <w:jc w:val="center"/>
            </w:pPr>
            <w:proofErr w:type="gramStart"/>
            <w:r>
              <w:t>Начальная величина годовой арендной платы за земельный участок 1,5 % от кадастровой стоимости земельного участка), руб.</w:t>
            </w:r>
            <w:proofErr w:type="gramEnd"/>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346CFF" w:rsidRDefault="00F601A4">
            <w:pPr>
              <w:ind w:right="-2"/>
              <w:jc w:val="center"/>
            </w:pPr>
            <w:r>
              <w:t>Размер задатка для участия в аукционе (20% от начальной стоимости права аренды), руб.</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346CFF" w:rsidRDefault="00F601A4">
            <w:pPr>
              <w:ind w:right="-2"/>
              <w:jc w:val="center"/>
            </w:pPr>
            <w:r>
              <w:t>Шаг аукциона, (3% от начальной стоимости права аренды), руб.</w:t>
            </w:r>
          </w:p>
        </w:tc>
      </w:tr>
      <w:tr w:rsidR="00346CFF">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346CFF" w:rsidRDefault="003437D9">
            <w:pPr>
              <w:ind w:right="-2"/>
              <w:jc w:val="center"/>
            </w:pPr>
            <w:r>
              <w:rPr>
                <w:b/>
                <w:color w:val="000000"/>
              </w:rPr>
              <w:t>2248,20</w:t>
            </w:r>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346CFF" w:rsidRDefault="003437D9">
            <w:pPr>
              <w:ind w:right="-2"/>
              <w:jc w:val="center"/>
            </w:pPr>
            <w:r>
              <w:rPr>
                <w:b/>
                <w:color w:val="000000"/>
              </w:rPr>
              <w:t>449,64</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346CFF" w:rsidRDefault="003437D9">
            <w:pPr>
              <w:ind w:right="-2"/>
              <w:jc w:val="center"/>
            </w:pPr>
            <w:r>
              <w:rPr>
                <w:b/>
                <w:color w:val="000000"/>
              </w:rPr>
              <w:t>67,45</w:t>
            </w:r>
          </w:p>
        </w:tc>
      </w:tr>
    </w:tbl>
    <w:p w:rsidR="002C1533" w:rsidRDefault="002C1533" w:rsidP="00082255">
      <w:pPr>
        <w:ind w:left="-709"/>
        <w:jc w:val="both"/>
      </w:pPr>
    </w:p>
    <w:p w:rsidR="00082255" w:rsidRPr="005B5F76" w:rsidRDefault="00EB3E61" w:rsidP="00082255">
      <w:pPr>
        <w:ind w:left="-709"/>
        <w:jc w:val="both"/>
      </w:pPr>
      <w:r w:rsidRPr="00082255">
        <w:t xml:space="preserve">- </w:t>
      </w:r>
      <w:r w:rsidR="00082255" w:rsidRPr="00082255">
        <w:rPr>
          <w:b/>
        </w:rPr>
        <w:t>лот № 2</w:t>
      </w:r>
      <w:r w:rsidR="00082255" w:rsidRPr="00082255">
        <w:t xml:space="preserve">  - </w:t>
      </w:r>
      <w:r w:rsidR="00082255">
        <w:t xml:space="preserve">адрес (описание местоположения): </w:t>
      </w:r>
      <w:r w:rsidR="00082255" w:rsidRPr="00082255">
        <w:t>земельный участок с кадастровым номером 34:20:030105:2902, местоположение: Волгоградская область, Новониколаевский район, р.п. Новониколаевский, ул.  Октябрьская, 79д,  площадь 637,0(шестьсот тридцать семь</w:t>
      </w:r>
      <w:proofErr w:type="gramStart"/>
      <w:r w:rsidR="00082255" w:rsidRPr="00082255">
        <w:t>)к</w:t>
      </w:r>
      <w:proofErr w:type="gramEnd"/>
      <w:r w:rsidR="00082255" w:rsidRPr="00082255">
        <w:t>в.м., в границах указанных в кадастровом паспорте, вид разрешенного использования «под строительство здания магазина»</w:t>
      </w:r>
      <w:r w:rsidR="00082255">
        <w:t>,  категория земель «земли населенных пунктов».</w:t>
      </w:r>
      <w:r w:rsidR="005B5F76">
        <w:t xml:space="preserve"> С</w:t>
      </w:r>
      <w:r w:rsidR="005B5F76" w:rsidRPr="005B5F76">
        <w:t>рок действия договора аренды земельного участка 1 год 6 месяцев</w:t>
      </w:r>
      <w:r w:rsidR="005B5F76">
        <w:t>.</w:t>
      </w:r>
    </w:p>
    <w:tbl>
      <w:tblPr>
        <w:tblW w:w="9930" w:type="dxa"/>
        <w:tblInd w:w="-726" w:type="dxa"/>
        <w:tblBorders>
          <w:top w:val="single" w:sz="4" w:space="0" w:color="000001"/>
          <w:left w:val="single" w:sz="4" w:space="0" w:color="000001"/>
          <w:bottom w:val="single" w:sz="4" w:space="0" w:color="000001"/>
          <w:insideH w:val="single" w:sz="4" w:space="0" w:color="000001"/>
        </w:tblBorders>
        <w:tblCellMar>
          <w:left w:w="-5" w:type="dxa"/>
        </w:tblCellMar>
        <w:tblLook w:val="04A0"/>
      </w:tblPr>
      <w:tblGrid>
        <w:gridCol w:w="3737"/>
        <w:gridCol w:w="3192"/>
        <w:gridCol w:w="3001"/>
      </w:tblGrid>
      <w:tr w:rsidR="00082255" w:rsidTr="006C27A8">
        <w:trPr>
          <w:trHeight w:val="144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082255" w:rsidRDefault="00082255" w:rsidP="006C27A8">
            <w:pPr>
              <w:ind w:right="-2"/>
              <w:jc w:val="center"/>
            </w:pPr>
            <w:proofErr w:type="gramStart"/>
            <w:r>
              <w:t>Начальная величина годовой арендной платы за земельный участок 1,5 % от кадастровой стоимости земельного участка), руб.</w:t>
            </w:r>
            <w:proofErr w:type="gramEnd"/>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082255" w:rsidRDefault="00082255" w:rsidP="006C27A8">
            <w:pPr>
              <w:ind w:right="-2"/>
              <w:jc w:val="center"/>
            </w:pPr>
            <w:r>
              <w:t>Размер задатка для участия в аукционе (20% от начальной стоимости права аренды), руб.</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82255" w:rsidRDefault="00082255" w:rsidP="006C27A8">
            <w:pPr>
              <w:ind w:right="-2"/>
              <w:jc w:val="center"/>
            </w:pPr>
            <w:r>
              <w:t>Шаг аукциона, (3% от начальной стоимости права аренды), руб.</w:t>
            </w:r>
          </w:p>
        </w:tc>
      </w:tr>
      <w:tr w:rsidR="00082255" w:rsidTr="00082255">
        <w:trPr>
          <w:trHeight w:val="37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082255" w:rsidRPr="002C1533" w:rsidRDefault="002C1533" w:rsidP="006C27A8">
            <w:pPr>
              <w:ind w:right="-2"/>
              <w:jc w:val="center"/>
              <w:rPr>
                <w:b/>
              </w:rPr>
            </w:pPr>
            <w:r w:rsidRPr="002C1533">
              <w:rPr>
                <w:b/>
              </w:rPr>
              <w:t>25818,76</w:t>
            </w:r>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082255" w:rsidRPr="002C1533" w:rsidRDefault="002C1533" w:rsidP="006C27A8">
            <w:pPr>
              <w:ind w:right="-2"/>
              <w:jc w:val="center"/>
              <w:rPr>
                <w:b/>
              </w:rPr>
            </w:pPr>
            <w:r w:rsidRPr="002C1533">
              <w:rPr>
                <w:b/>
              </w:rPr>
              <w:t>5163,75</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082255" w:rsidRPr="002C1533" w:rsidRDefault="002C1533" w:rsidP="006C27A8">
            <w:pPr>
              <w:ind w:right="-2"/>
              <w:jc w:val="center"/>
              <w:rPr>
                <w:b/>
              </w:rPr>
            </w:pPr>
            <w:r w:rsidRPr="002C1533">
              <w:rPr>
                <w:b/>
              </w:rPr>
              <w:t>774,56</w:t>
            </w:r>
          </w:p>
        </w:tc>
      </w:tr>
    </w:tbl>
    <w:p w:rsidR="00082255" w:rsidRDefault="00082255" w:rsidP="00082255">
      <w:pPr>
        <w:pStyle w:val="a7"/>
        <w:spacing w:after="0" w:line="240" w:lineRule="atLeast"/>
        <w:ind w:left="-851" w:firstLine="539"/>
        <w:jc w:val="both"/>
      </w:pPr>
      <w:r>
        <w:rPr>
          <w:b/>
        </w:rPr>
        <w:t>Электроснабжение:</w:t>
      </w:r>
    </w:p>
    <w:p w:rsidR="00082255" w:rsidRDefault="00082255" w:rsidP="00082255">
      <w:pPr>
        <w:numPr>
          <w:ilvl w:val="0"/>
          <w:numId w:val="3"/>
        </w:numPr>
        <w:tabs>
          <w:tab w:val="left" w:pos="720"/>
        </w:tabs>
        <w:spacing w:line="240" w:lineRule="atLeast"/>
        <w:ind w:left="-709" w:firstLine="398"/>
        <w:jc w:val="both"/>
      </w:pPr>
      <w:r>
        <w:t xml:space="preserve">Объект капитального строительства находится на удалении не более 300 метров по прямой от объектов </w:t>
      </w:r>
      <w:proofErr w:type="spellStart"/>
      <w:r>
        <w:t>электросетевого</w:t>
      </w:r>
      <w:proofErr w:type="spellEnd"/>
      <w:r>
        <w:t xml:space="preserve"> хозяйства, принадлежащих филиалу Северные МЭС ПАО «</w:t>
      </w:r>
      <w:proofErr w:type="spellStart"/>
      <w:r>
        <w:t>Волгоградоблэлектро</w:t>
      </w:r>
      <w:proofErr w:type="spellEnd"/>
      <w:r>
        <w:t>»</w:t>
      </w:r>
      <w:proofErr w:type="gramStart"/>
      <w:r>
        <w:t>.Т</w:t>
      </w:r>
      <w:proofErr w:type="gramEnd"/>
      <w:r>
        <w:t>ехническая возможность технологического присоединения объектов имеется.</w:t>
      </w:r>
    </w:p>
    <w:p w:rsidR="00082255" w:rsidRDefault="00082255" w:rsidP="00082255">
      <w:pPr>
        <w:numPr>
          <w:ilvl w:val="0"/>
          <w:numId w:val="3"/>
        </w:numPr>
        <w:tabs>
          <w:tab w:val="left" w:pos="720"/>
        </w:tabs>
        <w:spacing w:line="240" w:lineRule="atLeast"/>
        <w:ind w:left="-709" w:firstLine="398"/>
        <w:jc w:val="both"/>
      </w:pPr>
      <w:r>
        <w:t>Размер платы за технологическое присоединение установлен приказом комитета тарифного регулирования Волгоградской области № 53/2 от 26.12.2017года.</w:t>
      </w:r>
    </w:p>
    <w:p w:rsidR="00082255" w:rsidRDefault="00082255" w:rsidP="00082255">
      <w:pPr>
        <w:numPr>
          <w:ilvl w:val="0"/>
          <w:numId w:val="3"/>
        </w:numPr>
        <w:tabs>
          <w:tab w:val="left" w:pos="720"/>
        </w:tabs>
        <w:spacing w:line="240" w:lineRule="atLeast"/>
        <w:ind w:left="-709" w:firstLine="398"/>
        <w:jc w:val="both"/>
      </w:pPr>
      <w:r>
        <w:t>Срок действия технических условий согласно п.24 Правил не может составлять менее 2 лет и более 5 лет со дня заключения договора технологического присоединения.</w:t>
      </w:r>
    </w:p>
    <w:p w:rsidR="00082255" w:rsidRDefault="00082255" w:rsidP="00082255">
      <w:pPr>
        <w:spacing w:line="240" w:lineRule="atLeast"/>
        <w:ind w:left="-709" w:firstLine="398"/>
        <w:jc w:val="both"/>
      </w:pPr>
      <w:r>
        <w:rPr>
          <w:b/>
        </w:rPr>
        <w:t>Газификация:</w:t>
      </w:r>
    </w:p>
    <w:p w:rsidR="00082255" w:rsidRDefault="00082255" w:rsidP="00082255">
      <w:pPr>
        <w:spacing w:line="240" w:lineRule="atLeast"/>
        <w:ind w:left="-709" w:firstLine="398"/>
        <w:jc w:val="both"/>
      </w:pPr>
      <w:r>
        <w:lastRenderedPageBreak/>
        <w:t>Объект газификации: капитальное строительство. Имеется техническая возможность подключения вышеуказанного объекта от надземного газопровода низкого давления Ǿ 98 мм.</w:t>
      </w:r>
    </w:p>
    <w:p w:rsidR="00082255" w:rsidRDefault="00082255" w:rsidP="00082255">
      <w:pPr>
        <w:spacing w:line="240" w:lineRule="atLeast"/>
        <w:ind w:left="-709" w:firstLine="398"/>
        <w:jc w:val="both"/>
      </w:pPr>
      <w:r>
        <w:rPr>
          <w:b/>
          <w:bCs/>
        </w:rPr>
        <w:t>Водоснабжение:</w:t>
      </w:r>
    </w:p>
    <w:p w:rsidR="00082255" w:rsidRDefault="00082255" w:rsidP="00082255">
      <w:pPr>
        <w:spacing w:line="240" w:lineRule="auto"/>
        <w:ind w:left="-851"/>
        <w:jc w:val="both"/>
      </w:pPr>
      <w:r>
        <w:t>Объект водоснабжения: капитальное строительство. Имеется техническая возможность подключения вышеуказанного объекта от существующего  водопровода (скважины) водонапорной башни «Запад</w:t>
      </w:r>
      <w:r w:rsidR="00C5008F">
        <w:t>ной</w:t>
      </w:r>
      <w:r>
        <w:t xml:space="preserve">», водопровод заложен на глубине 2,0 м, напор в точке подключения к существующему водопроводу 1,5 м. Врезку осуществляет только эксплуатационная организация, установит вентиль </w:t>
      </w:r>
      <w:r>
        <w:rPr>
          <w:lang w:val="en-US"/>
        </w:rPr>
        <w:t>D</w:t>
      </w:r>
      <w:r w:rsidRPr="007720F9">
        <w:t xml:space="preserve"> 25</w:t>
      </w:r>
      <w:r>
        <w:t>мм</w:t>
      </w:r>
      <w:proofErr w:type="gramStart"/>
      <w:r>
        <w:t>.Д</w:t>
      </w:r>
      <w:proofErr w:type="gramEnd"/>
      <w:r>
        <w:t xml:space="preserve">о врезки проложить трубу ПХВ </w:t>
      </w:r>
      <w:r>
        <w:rPr>
          <w:lang w:val="en-US"/>
        </w:rPr>
        <w:t>D</w:t>
      </w:r>
      <w:r>
        <w:t xml:space="preserve">25 мм, установить водомер. В момент врезки иметь  в наличии </w:t>
      </w:r>
      <w:proofErr w:type="spellStart"/>
      <w:r>
        <w:t>седловое</w:t>
      </w:r>
      <w:proofErr w:type="spellEnd"/>
      <w:r>
        <w:t xml:space="preserve"> устройство и отключающее</w:t>
      </w:r>
      <w:r w:rsidRPr="00082255">
        <w:t xml:space="preserve"> </w:t>
      </w:r>
      <w:r>
        <w:t>устройство.</w:t>
      </w:r>
    </w:p>
    <w:p w:rsidR="00082255" w:rsidRDefault="00082255" w:rsidP="00082255">
      <w:pPr>
        <w:spacing w:line="240" w:lineRule="atLeast"/>
        <w:ind w:left="-709" w:firstLine="398"/>
        <w:jc w:val="both"/>
      </w:pPr>
    </w:p>
    <w:p w:rsidR="002C1533" w:rsidRPr="005B5F76" w:rsidRDefault="00082255" w:rsidP="002C1533">
      <w:pPr>
        <w:ind w:left="-709"/>
        <w:jc w:val="both"/>
      </w:pPr>
      <w:r w:rsidRPr="002C1533">
        <w:rPr>
          <w:b/>
        </w:rPr>
        <w:t>лот № 3</w:t>
      </w:r>
      <w:r w:rsidRPr="00082255">
        <w:t xml:space="preserve">  </w:t>
      </w:r>
      <w:r w:rsidR="00C5008F">
        <w:t xml:space="preserve">адрес (описание местоположения): </w:t>
      </w:r>
      <w:r w:rsidRPr="00082255">
        <w:t>земельный участок с кадастровым номером 34:20:030104:1096, местоположение: Волгоградская область, Новониколаевский район, р.п. Новониколаевский, ул.  Казачья, 27-а,  площадь 5000,0(пять тысяч</w:t>
      </w:r>
      <w:proofErr w:type="gramStart"/>
      <w:r w:rsidRPr="00082255">
        <w:t>)к</w:t>
      </w:r>
      <w:proofErr w:type="gramEnd"/>
      <w:r w:rsidRPr="00082255">
        <w:t>в.м., в границах указанных в кадастровом паспорте, вид разрешенного использования «для хранения пиломатериалов</w:t>
      </w:r>
      <w:r w:rsidR="002C1533">
        <w:t>», категория земель «земли населенных пунктов».</w:t>
      </w:r>
      <w:r w:rsidR="005B5F76">
        <w:t xml:space="preserve"> </w:t>
      </w:r>
      <w:r w:rsidR="005B5F76" w:rsidRPr="005B5F76">
        <w:t>Срок действия договора аренды земельного участка 5 (пять) лет</w:t>
      </w:r>
      <w:r w:rsidR="005B5F76">
        <w:t>.</w:t>
      </w:r>
    </w:p>
    <w:tbl>
      <w:tblPr>
        <w:tblW w:w="9930" w:type="dxa"/>
        <w:tblInd w:w="-726" w:type="dxa"/>
        <w:tblBorders>
          <w:top w:val="single" w:sz="4" w:space="0" w:color="000001"/>
          <w:left w:val="single" w:sz="4" w:space="0" w:color="000001"/>
          <w:bottom w:val="single" w:sz="4" w:space="0" w:color="000001"/>
          <w:insideH w:val="single" w:sz="4" w:space="0" w:color="000001"/>
        </w:tblBorders>
        <w:tblCellMar>
          <w:left w:w="-5" w:type="dxa"/>
        </w:tblCellMar>
        <w:tblLook w:val="04A0"/>
      </w:tblPr>
      <w:tblGrid>
        <w:gridCol w:w="3737"/>
        <w:gridCol w:w="3192"/>
        <w:gridCol w:w="3001"/>
      </w:tblGrid>
      <w:tr w:rsidR="002C1533" w:rsidTr="006C27A8">
        <w:trPr>
          <w:trHeight w:val="144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2C1533" w:rsidRDefault="002C1533" w:rsidP="006C27A8">
            <w:pPr>
              <w:ind w:right="-2"/>
              <w:jc w:val="center"/>
            </w:pPr>
            <w:proofErr w:type="gramStart"/>
            <w:r>
              <w:t>Начальная величина годовой арендной платы за земельный участок 1,5 % от кадастровой стоимости земельного участка), руб.</w:t>
            </w:r>
            <w:proofErr w:type="gramEnd"/>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2C1533" w:rsidRDefault="002C1533" w:rsidP="006C27A8">
            <w:pPr>
              <w:ind w:right="-2"/>
              <w:jc w:val="center"/>
            </w:pPr>
            <w:r>
              <w:t>Размер задатка для участия в аукционе (20% от начальной стоимости права аренды), руб.</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1533" w:rsidRDefault="002C1533" w:rsidP="006C27A8">
            <w:pPr>
              <w:ind w:right="-2"/>
              <w:jc w:val="center"/>
            </w:pPr>
            <w:r>
              <w:t>Шаг аукциона, (3% от начальной стоимости права аренды), руб.</w:t>
            </w:r>
          </w:p>
        </w:tc>
      </w:tr>
      <w:tr w:rsidR="002C1533" w:rsidRPr="002C1533" w:rsidTr="006C27A8">
        <w:trPr>
          <w:trHeight w:val="37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2C1533" w:rsidRPr="002C1533" w:rsidRDefault="002C1533" w:rsidP="006C27A8">
            <w:pPr>
              <w:ind w:right="-2"/>
              <w:jc w:val="center"/>
              <w:rPr>
                <w:b/>
              </w:rPr>
            </w:pPr>
            <w:r>
              <w:rPr>
                <w:b/>
              </w:rPr>
              <w:t>33753,75</w:t>
            </w:r>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2C1533" w:rsidRPr="002C1533" w:rsidRDefault="002C1533" w:rsidP="006C27A8">
            <w:pPr>
              <w:ind w:right="-2"/>
              <w:jc w:val="center"/>
              <w:rPr>
                <w:b/>
              </w:rPr>
            </w:pPr>
            <w:r>
              <w:rPr>
                <w:b/>
              </w:rPr>
              <w:t>6750,75</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1533" w:rsidRPr="002C1533" w:rsidRDefault="002C1533" w:rsidP="006C27A8">
            <w:pPr>
              <w:ind w:right="-2"/>
              <w:jc w:val="center"/>
              <w:rPr>
                <w:b/>
              </w:rPr>
            </w:pPr>
            <w:r>
              <w:rPr>
                <w:b/>
              </w:rPr>
              <w:t>1012,61</w:t>
            </w:r>
          </w:p>
        </w:tc>
      </w:tr>
    </w:tbl>
    <w:p w:rsidR="00E25159" w:rsidRDefault="00E25159" w:rsidP="002C1533">
      <w:pPr>
        <w:ind w:left="-709"/>
        <w:jc w:val="both"/>
        <w:rPr>
          <w:b/>
        </w:rPr>
      </w:pPr>
    </w:p>
    <w:p w:rsidR="002C1533" w:rsidRPr="005B5F76" w:rsidRDefault="002C1533" w:rsidP="00E25159">
      <w:pPr>
        <w:ind w:left="-709"/>
        <w:jc w:val="both"/>
      </w:pPr>
      <w:r w:rsidRPr="00E25159">
        <w:rPr>
          <w:b/>
        </w:rPr>
        <w:t xml:space="preserve">лот № </w:t>
      </w:r>
      <w:r w:rsidR="00E25159" w:rsidRPr="00E25159">
        <w:rPr>
          <w:b/>
        </w:rPr>
        <w:t>4</w:t>
      </w:r>
      <w:r w:rsidRPr="00E25159">
        <w:t xml:space="preserve">  - адрес (описание местоположения): </w:t>
      </w:r>
      <w:r w:rsidR="00E25159" w:rsidRPr="00E25159">
        <w:t>земельный участок с кадастровым номером 34:20:030103:2597, местоположение: Волгоградская область, Новониколаевский район, р.п. Новониколаевский, ул. Народная, 2б, площадь 1300,0(одна тысяча триста</w:t>
      </w:r>
      <w:proofErr w:type="gramStart"/>
      <w:r w:rsidR="00E25159" w:rsidRPr="00E25159">
        <w:t>)к</w:t>
      </w:r>
      <w:proofErr w:type="gramEnd"/>
      <w:r w:rsidR="00E25159" w:rsidRPr="00E25159">
        <w:t>в.м., в границах указанных в кадастровом паспорте, вид разрешенного использования «индивид</w:t>
      </w:r>
      <w:r w:rsidR="00E25159">
        <w:t xml:space="preserve">уальное жилищное строительство», </w:t>
      </w:r>
      <w:r w:rsidRPr="00E25159">
        <w:t>категория земель «земли населенных пунктов».</w:t>
      </w:r>
      <w:r w:rsidR="005B5F76" w:rsidRPr="005B5F76">
        <w:rPr>
          <w:rFonts w:ascii="Arial" w:hAnsi="Arial" w:cs="Arial"/>
        </w:rPr>
        <w:t xml:space="preserve"> </w:t>
      </w:r>
      <w:r w:rsidR="005B5F76" w:rsidRPr="005B5F76">
        <w:t>Срок действия договора аренды земельного участка 20 (двадцать) лет.</w:t>
      </w:r>
    </w:p>
    <w:tbl>
      <w:tblPr>
        <w:tblW w:w="9930" w:type="dxa"/>
        <w:tblInd w:w="-726" w:type="dxa"/>
        <w:tblBorders>
          <w:top w:val="single" w:sz="4" w:space="0" w:color="000001"/>
          <w:left w:val="single" w:sz="4" w:space="0" w:color="000001"/>
          <w:bottom w:val="single" w:sz="4" w:space="0" w:color="000001"/>
          <w:insideH w:val="single" w:sz="4" w:space="0" w:color="000001"/>
        </w:tblBorders>
        <w:tblCellMar>
          <w:left w:w="-5" w:type="dxa"/>
        </w:tblCellMar>
        <w:tblLook w:val="04A0"/>
      </w:tblPr>
      <w:tblGrid>
        <w:gridCol w:w="3737"/>
        <w:gridCol w:w="3192"/>
        <w:gridCol w:w="3001"/>
      </w:tblGrid>
      <w:tr w:rsidR="002C1533" w:rsidTr="006C27A8">
        <w:trPr>
          <w:trHeight w:val="144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2C1533" w:rsidRDefault="002C1533" w:rsidP="006C27A8">
            <w:pPr>
              <w:ind w:right="-2"/>
              <w:jc w:val="center"/>
            </w:pPr>
            <w:proofErr w:type="gramStart"/>
            <w:r>
              <w:t>Начальная величина годовой арендной платы за земельный участок 1,5 % от кадастровой стоимости земельного участка), руб.</w:t>
            </w:r>
            <w:proofErr w:type="gramEnd"/>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2C1533" w:rsidRDefault="002C1533" w:rsidP="006C27A8">
            <w:pPr>
              <w:ind w:right="-2"/>
              <w:jc w:val="center"/>
            </w:pPr>
            <w:r>
              <w:t>Размер задатка для участия в аукционе (20% от начальной стоимости права аренды), руб.</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1533" w:rsidRDefault="002C1533" w:rsidP="006C27A8">
            <w:pPr>
              <w:ind w:right="-2"/>
              <w:jc w:val="center"/>
            </w:pPr>
            <w:r>
              <w:t>Шаг аукциона, (3% от начальной стоимости права аренды), руб.</w:t>
            </w:r>
          </w:p>
        </w:tc>
      </w:tr>
      <w:tr w:rsidR="002C1533" w:rsidTr="006C27A8">
        <w:trPr>
          <w:trHeight w:val="37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2C1533" w:rsidRPr="002C1533" w:rsidRDefault="00E25159" w:rsidP="006C27A8">
            <w:pPr>
              <w:ind w:right="-2"/>
              <w:jc w:val="center"/>
              <w:rPr>
                <w:b/>
              </w:rPr>
            </w:pPr>
            <w:r>
              <w:rPr>
                <w:b/>
              </w:rPr>
              <w:t>7259,66</w:t>
            </w:r>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2C1533" w:rsidRPr="002C1533" w:rsidRDefault="00E25159" w:rsidP="006C27A8">
            <w:pPr>
              <w:ind w:right="-2"/>
              <w:jc w:val="center"/>
              <w:rPr>
                <w:b/>
              </w:rPr>
            </w:pPr>
            <w:r>
              <w:rPr>
                <w:b/>
              </w:rPr>
              <w:t>1451,93</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1533" w:rsidRPr="002C1533" w:rsidRDefault="00E25159" w:rsidP="006C27A8">
            <w:pPr>
              <w:ind w:right="-2"/>
              <w:jc w:val="center"/>
              <w:rPr>
                <w:b/>
              </w:rPr>
            </w:pPr>
            <w:r>
              <w:rPr>
                <w:b/>
              </w:rPr>
              <w:t>217,79</w:t>
            </w:r>
          </w:p>
        </w:tc>
      </w:tr>
    </w:tbl>
    <w:p w:rsidR="002C1533" w:rsidRDefault="002C1533" w:rsidP="002C1533">
      <w:pPr>
        <w:pStyle w:val="a7"/>
        <w:spacing w:after="0" w:line="240" w:lineRule="atLeast"/>
        <w:ind w:left="-851" w:firstLine="539"/>
        <w:jc w:val="both"/>
      </w:pPr>
      <w:r>
        <w:rPr>
          <w:b/>
        </w:rPr>
        <w:t>Электроснабжение:</w:t>
      </w:r>
    </w:p>
    <w:p w:rsidR="002C1533" w:rsidRDefault="002C1533" w:rsidP="002C1533">
      <w:pPr>
        <w:numPr>
          <w:ilvl w:val="0"/>
          <w:numId w:val="3"/>
        </w:numPr>
        <w:tabs>
          <w:tab w:val="left" w:pos="720"/>
        </w:tabs>
        <w:spacing w:line="240" w:lineRule="atLeast"/>
        <w:ind w:left="-709" w:firstLine="398"/>
        <w:jc w:val="both"/>
      </w:pPr>
      <w:proofErr w:type="gramStart"/>
      <w:r>
        <w:t xml:space="preserve">Объект капитального строительства находится на удалении не более 25 метров по прямой от объектов </w:t>
      </w:r>
      <w:proofErr w:type="spellStart"/>
      <w:r>
        <w:t>электросетевого</w:t>
      </w:r>
      <w:proofErr w:type="spellEnd"/>
      <w:r>
        <w:t xml:space="preserve"> хозяйства, принадлежащих филиалу Северные МЭС ПАО «</w:t>
      </w:r>
      <w:proofErr w:type="spellStart"/>
      <w:r>
        <w:t>Волгоградоблэлектро</w:t>
      </w:r>
      <w:proofErr w:type="spellEnd"/>
      <w:r>
        <w:t>».</w:t>
      </w:r>
      <w:proofErr w:type="gramEnd"/>
      <w:r w:rsidR="00E25159">
        <w:t xml:space="preserve"> </w:t>
      </w:r>
      <w:r>
        <w:t>Техническая возможность технологического присоединения объектов имеется.</w:t>
      </w:r>
    </w:p>
    <w:p w:rsidR="002C1533" w:rsidRDefault="002C1533" w:rsidP="002C1533">
      <w:pPr>
        <w:numPr>
          <w:ilvl w:val="0"/>
          <w:numId w:val="3"/>
        </w:numPr>
        <w:tabs>
          <w:tab w:val="left" w:pos="720"/>
        </w:tabs>
        <w:spacing w:line="240" w:lineRule="atLeast"/>
        <w:ind w:left="-709" w:firstLine="398"/>
        <w:jc w:val="both"/>
      </w:pPr>
      <w:r>
        <w:t>Размер платы за технологическое присоединение установлен приказом комитета тарифного регулирования Волгоградской области № 53/2 от 26.12.2017года.</w:t>
      </w:r>
    </w:p>
    <w:p w:rsidR="002C1533" w:rsidRDefault="002C1533" w:rsidP="002C1533">
      <w:pPr>
        <w:numPr>
          <w:ilvl w:val="0"/>
          <w:numId w:val="3"/>
        </w:numPr>
        <w:tabs>
          <w:tab w:val="left" w:pos="720"/>
        </w:tabs>
        <w:spacing w:line="240" w:lineRule="atLeast"/>
        <w:ind w:left="-709" w:firstLine="398"/>
        <w:jc w:val="both"/>
      </w:pPr>
      <w:r>
        <w:t>Срок действия технических условий согласно п.24 Правил не может составлять менее 2 лет и более 5 лет со дня заключения договора технологического присоединения.</w:t>
      </w:r>
    </w:p>
    <w:p w:rsidR="002C1533" w:rsidRDefault="002C1533" w:rsidP="002C1533">
      <w:pPr>
        <w:spacing w:line="240" w:lineRule="atLeast"/>
        <w:ind w:left="-709" w:firstLine="398"/>
        <w:jc w:val="both"/>
      </w:pPr>
      <w:r>
        <w:rPr>
          <w:b/>
        </w:rPr>
        <w:t>Газификация:</w:t>
      </w:r>
    </w:p>
    <w:p w:rsidR="002C1533" w:rsidRDefault="002C1533" w:rsidP="002C1533">
      <w:pPr>
        <w:spacing w:line="240" w:lineRule="atLeast"/>
        <w:ind w:left="-709" w:firstLine="398"/>
        <w:jc w:val="both"/>
      </w:pPr>
      <w:r>
        <w:t xml:space="preserve">Объект газификации: капитальное строительство. Имеется техническая возможность подключения вышеуказанного объекта от надземного газопровода низкого давления Ǿ </w:t>
      </w:r>
      <w:r w:rsidR="00E25159">
        <w:t>89</w:t>
      </w:r>
      <w:r>
        <w:t xml:space="preserve"> мм.</w:t>
      </w:r>
    </w:p>
    <w:p w:rsidR="002C1533" w:rsidRDefault="002C1533" w:rsidP="002C1533">
      <w:pPr>
        <w:spacing w:line="240" w:lineRule="atLeast"/>
        <w:ind w:left="-709" w:firstLine="398"/>
        <w:jc w:val="both"/>
      </w:pPr>
      <w:r>
        <w:rPr>
          <w:b/>
          <w:bCs/>
        </w:rPr>
        <w:t>Водоснабжение:</w:t>
      </w:r>
    </w:p>
    <w:p w:rsidR="002C1533" w:rsidRDefault="002C1533" w:rsidP="002C1533">
      <w:pPr>
        <w:spacing w:line="240" w:lineRule="auto"/>
        <w:ind w:left="-851"/>
        <w:jc w:val="both"/>
      </w:pPr>
      <w:r>
        <w:t>Объект водоснабжения: капитальное строительство. Имеется техническая возможность подключения вышеуказанного объекта от существующего  водопровода (скважины) водонапорной башни «</w:t>
      </w:r>
      <w:r w:rsidR="00E25159">
        <w:t>Восточн</w:t>
      </w:r>
      <w:r w:rsidR="00C5008F">
        <w:t>ой</w:t>
      </w:r>
      <w:r>
        <w:t xml:space="preserve">», водопровод заложен на глубине 2,0 м, напор в точке подключения к </w:t>
      </w:r>
      <w:r>
        <w:lastRenderedPageBreak/>
        <w:t xml:space="preserve">существующему водопроводу 1,5 м. Врезку осуществляет только эксплуатационная организация, установит вентиль </w:t>
      </w:r>
      <w:r>
        <w:rPr>
          <w:lang w:val="en-US"/>
        </w:rPr>
        <w:t>D</w:t>
      </w:r>
      <w:r w:rsidRPr="007720F9">
        <w:t xml:space="preserve"> 25</w:t>
      </w:r>
      <w:r>
        <w:t>мм.</w:t>
      </w:r>
      <w:r w:rsidR="00E25159">
        <w:t xml:space="preserve"> </w:t>
      </w:r>
      <w:r>
        <w:t xml:space="preserve">До врезки проложить трубу ПХВ </w:t>
      </w:r>
      <w:r>
        <w:rPr>
          <w:lang w:val="en-US"/>
        </w:rPr>
        <w:t>D</w:t>
      </w:r>
      <w:r>
        <w:t xml:space="preserve">25 мм, установить водомер. В момент врезки иметь  в наличии </w:t>
      </w:r>
      <w:proofErr w:type="spellStart"/>
      <w:r>
        <w:t>седловое</w:t>
      </w:r>
      <w:proofErr w:type="spellEnd"/>
      <w:r>
        <w:t xml:space="preserve"> устройство и отключающее</w:t>
      </w:r>
      <w:r w:rsidRPr="00082255">
        <w:t xml:space="preserve"> </w:t>
      </w:r>
      <w:r>
        <w:t>устройство.</w:t>
      </w:r>
    </w:p>
    <w:p w:rsidR="00C5008F" w:rsidRDefault="00C5008F" w:rsidP="002C1533">
      <w:pPr>
        <w:spacing w:line="240" w:lineRule="auto"/>
        <w:ind w:left="-851"/>
        <w:jc w:val="both"/>
      </w:pPr>
    </w:p>
    <w:p w:rsidR="005B5F76" w:rsidRPr="005B5F76" w:rsidRDefault="00C5008F" w:rsidP="005B5F76">
      <w:pPr>
        <w:ind w:left="-709"/>
        <w:jc w:val="both"/>
      </w:pPr>
      <w:r w:rsidRPr="00C5008F">
        <w:rPr>
          <w:b/>
        </w:rPr>
        <w:t xml:space="preserve">лот № </w:t>
      </w:r>
      <w:r>
        <w:rPr>
          <w:b/>
        </w:rPr>
        <w:t>5</w:t>
      </w:r>
      <w:r w:rsidRPr="00C5008F">
        <w:t xml:space="preserve">  - адрес (описание местоположения): - земельный участок с кадастровым номером 34:20:030102:3401, местоположение: Волгоградская область, Новониколаевский район, р.п. Новониколаевский, ул. Садовая, 68, площадь 721,0(семьсот двадцать один</w:t>
      </w:r>
      <w:proofErr w:type="gramStart"/>
      <w:r w:rsidRPr="00C5008F">
        <w:t>)к</w:t>
      </w:r>
      <w:proofErr w:type="gramEnd"/>
      <w:r w:rsidRPr="00C5008F">
        <w:t>в.м., в границах указанных в кадастровом паспорте, вид разрешенного использования «индивидуальное жилищное строительство», категория земель «земли населенных пунктов».</w:t>
      </w:r>
      <w:r w:rsidR="005B5F76" w:rsidRPr="005B5F76">
        <w:t xml:space="preserve"> Срок действия договора аренды земельного участка 20 (двадцать) лет.</w:t>
      </w:r>
    </w:p>
    <w:tbl>
      <w:tblPr>
        <w:tblW w:w="9930" w:type="dxa"/>
        <w:tblInd w:w="-726" w:type="dxa"/>
        <w:tblBorders>
          <w:top w:val="single" w:sz="4" w:space="0" w:color="000001"/>
          <w:left w:val="single" w:sz="4" w:space="0" w:color="000001"/>
          <w:bottom w:val="single" w:sz="4" w:space="0" w:color="000001"/>
          <w:insideH w:val="single" w:sz="4" w:space="0" w:color="000001"/>
        </w:tblBorders>
        <w:tblCellMar>
          <w:left w:w="-5" w:type="dxa"/>
        </w:tblCellMar>
        <w:tblLook w:val="04A0"/>
      </w:tblPr>
      <w:tblGrid>
        <w:gridCol w:w="3737"/>
        <w:gridCol w:w="3192"/>
        <w:gridCol w:w="3001"/>
      </w:tblGrid>
      <w:tr w:rsidR="00C5008F" w:rsidTr="006C27A8">
        <w:trPr>
          <w:trHeight w:val="144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C5008F" w:rsidRDefault="00C5008F" w:rsidP="006C27A8">
            <w:pPr>
              <w:ind w:right="-2"/>
              <w:jc w:val="center"/>
            </w:pPr>
            <w:proofErr w:type="gramStart"/>
            <w:r>
              <w:t>Начальная величина годовой арендной платы за земельный участок 1,5 % от кадастровой стоимости земельного участка), руб.</w:t>
            </w:r>
            <w:proofErr w:type="gramEnd"/>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C5008F" w:rsidRDefault="00C5008F" w:rsidP="006C27A8">
            <w:pPr>
              <w:ind w:right="-2"/>
              <w:jc w:val="center"/>
            </w:pPr>
            <w:r>
              <w:t>Размер задатка для участия в аукционе (20% от начальной стоимости права аренды), руб.</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5008F" w:rsidRDefault="00C5008F" w:rsidP="006C27A8">
            <w:pPr>
              <w:ind w:right="-2"/>
              <w:jc w:val="center"/>
            </w:pPr>
            <w:r>
              <w:t>Шаг аукциона, (3% от начальной стоимости права аренды), руб.</w:t>
            </w:r>
          </w:p>
        </w:tc>
      </w:tr>
      <w:tr w:rsidR="00C5008F" w:rsidTr="006C27A8">
        <w:trPr>
          <w:trHeight w:val="37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C5008F" w:rsidRPr="002C1533" w:rsidRDefault="00C5008F" w:rsidP="006C27A8">
            <w:pPr>
              <w:ind w:right="-2"/>
              <w:jc w:val="center"/>
              <w:rPr>
                <w:b/>
              </w:rPr>
            </w:pPr>
            <w:r>
              <w:rPr>
                <w:b/>
              </w:rPr>
              <w:t>4101,26</w:t>
            </w:r>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C5008F" w:rsidRPr="002C1533" w:rsidRDefault="00C5008F" w:rsidP="006C27A8">
            <w:pPr>
              <w:ind w:right="-2"/>
              <w:jc w:val="center"/>
              <w:rPr>
                <w:b/>
              </w:rPr>
            </w:pPr>
            <w:r>
              <w:rPr>
                <w:b/>
              </w:rPr>
              <w:t>820,25</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5008F" w:rsidRPr="002C1533" w:rsidRDefault="00C5008F" w:rsidP="006C27A8">
            <w:pPr>
              <w:ind w:right="-2"/>
              <w:jc w:val="center"/>
              <w:rPr>
                <w:b/>
              </w:rPr>
            </w:pPr>
            <w:r>
              <w:rPr>
                <w:b/>
              </w:rPr>
              <w:t>123,04</w:t>
            </w:r>
          </w:p>
        </w:tc>
      </w:tr>
    </w:tbl>
    <w:p w:rsidR="00C5008F" w:rsidRDefault="00C5008F" w:rsidP="00C5008F">
      <w:pPr>
        <w:pStyle w:val="a7"/>
        <w:spacing w:after="0" w:line="240" w:lineRule="atLeast"/>
        <w:ind w:left="-851" w:firstLine="539"/>
        <w:jc w:val="both"/>
      </w:pPr>
      <w:r>
        <w:rPr>
          <w:b/>
        </w:rPr>
        <w:t>Электроснабжение:</w:t>
      </w:r>
    </w:p>
    <w:p w:rsidR="00C5008F" w:rsidRDefault="00C5008F" w:rsidP="00C5008F">
      <w:pPr>
        <w:numPr>
          <w:ilvl w:val="0"/>
          <w:numId w:val="3"/>
        </w:numPr>
        <w:tabs>
          <w:tab w:val="left" w:pos="720"/>
        </w:tabs>
        <w:spacing w:line="240" w:lineRule="atLeast"/>
        <w:ind w:left="-709" w:firstLine="398"/>
        <w:jc w:val="both"/>
      </w:pPr>
      <w:proofErr w:type="gramStart"/>
      <w:r>
        <w:t xml:space="preserve">Объект капитального строительства находится на удалении не более 15 метров по прямой от объектов </w:t>
      </w:r>
      <w:proofErr w:type="spellStart"/>
      <w:r>
        <w:t>электросетевого</w:t>
      </w:r>
      <w:proofErr w:type="spellEnd"/>
      <w:r>
        <w:t xml:space="preserve"> хозяйства, принадлежащих филиалу Северные МЭС ПАО «</w:t>
      </w:r>
      <w:proofErr w:type="spellStart"/>
      <w:r>
        <w:t>Волгоградоблэлектро</w:t>
      </w:r>
      <w:proofErr w:type="spellEnd"/>
      <w:r>
        <w:t>».</w:t>
      </w:r>
      <w:proofErr w:type="gramEnd"/>
      <w:r>
        <w:t xml:space="preserve"> Техническая возможность технологического присоединения объектов имеется.</w:t>
      </w:r>
    </w:p>
    <w:p w:rsidR="00C5008F" w:rsidRDefault="00C5008F" w:rsidP="00C5008F">
      <w:pPr>
        <w:numPr>
          <w:ilvl w:val="0"/>
          <w:numId w:val="3"/>
        </w:numPr>
        <w:tabs>
          <w:tab w:val="left" w:pos="720"/>
        </w:tabs>
        <w:spacing w:line="240" w:lineRule="atLeast"/>
        <w:ind w:left="-709" w:firstLine="398"/>
        <w:jc w:val="both"/>
      </w:pPr>
      <w:r>
        <w:t>Размер платы за технологическое присоединение установлен приказом комитета тарифного регулирования Волгоградской области № 53/2 от 26.12.2017года.</w:t>
      </w:r>
    </w:p>
    <w:p w:rsidR="00C5008F" w:rsidRDefault="00C5008F" w:rsidP="00C5008F">
      <w:pPr>
        <w:numPr>
          <w:ilvl w:val="0"/>
          <w:numId w:val="3"/>
        </w:numPr>
        <w:tabs>
          <w:tab w:val="left" w:pos="720"/>
        </w:tabs>
        <w:spacing w:line="240" w:lineRule="atLeast"/>
        <w:ind w:left="-709" w:firstLine="398"/>
        <w:jc w:val="both"/>
      </w:pPr>
      <w:r>
        <w:t>Срок действия технических условий согласно п.24 Правил не может составлять менее 2 лет и более 5 лет со дня заключения договора технологического присоединения.</w:t>
      </w:r>
    </w:p>
    <w:p w:rsidR="00C5008F" w:rsidRDefault="00C5008F" w:rsidP="00C5008F">
      <w:pPr>
        <w:spacing w:line="240" w:lineRule="atLeast"/>
        <w:ind w:left="-709" w:firstLine="398"/>
        <w:jc w:val="both"/>
      </w:pPr>
      <w:r>
        <w:rPr>
          <w:b/>
        </w:rPr>
        <w:t>Газификация:</w:t>
      </w:r>
    </w:p>
    <w:p w:rsidR="00C5008F" w:rsidRDefault="00C5008F" w:rsidP="00C5008F">
      <w:pPr>
        <w:spacing w:line="240" w:lineRule="atLeast"/>
        <w:ind w:left="-709" w:firstLine="398"/>
        <w:jc w:val="both"/>
      </w:pPr>
      <w:r>
        <w:t>Объект газификации: капитальное строительство. Имеется техническая возможность подключения вышеуказанного объекта от надземного газопровода низкого давления Ǿ 57 мм.</w:t>
      </w:r>
    </w:p>
    <w:p w:rsidR="00C5008F" w:rsidRDefault="00C5008F" w:rsidP="00C5008F">
      <w:pPr>
        <w:spacing w:line="240" w:lineRule="atLeast"/>
        <w:ind w:left="-709" w:firstLine="398"/>
        <w:jc w:val="both"/>
      </w:pPr>
      <w:r>
        <w:rPr>
          <w:b/>
          <w:bCs/>
        </w:rPr>
        <w:t>Водоснабжение:</w:t>
      </w:r>
    </w:p>
    <w:p w:rsidR="00C5008F" w:rsidRDefault="00C5008F" w:rsidP="00C5008F">
      <w:pPr>
        <w:spacing w:line="240" w:lineRule="auto"/>
        <w:ind w:left="-709" w:firstLine="398"/>
        <w:jc w:val="both"/>
      </w:pPr>
      <w:r>
        <w:t xml:space="preserve">Объект водоснабжения: капитальное строительство. Имеется техническая возможность подключения вышеуказанного объекта от существующего  водопровода (скважины) водонапорной башни «Восточной», водопровод заложен на глубине 2,0 м, напор в точке подключения к существующему водопроводу 1,5 м. Врезку осуществляет только эксплуатационная организация, установит вентиль </w:t>
      </w:r>
      <w:r>
        <w:rPr>
          <w:lang w:val="en-US"/>
        </w:rPr>
        <w:t>D</w:t>
      </w:r>
      <w:r w:rsidRPr="007720F9">
        <w:t xml:space="preserve"> 25</w:t>
      </w:r>
      <w:r>
        <w:t xml:space="preserve">мм. До врезки проложить трубу ПХВ </w:t>
      </w:r>
      <w:r>
        <w:rPr>
          <w:lang w:val="en-US"/>
        </w:rPr>
        <w:t>D</w:t>
      </w:r>
      <w:r>
        <w:t xml:space="preserve">25 мм, установить водомер. В момент врезки иметь  в наличии </w:t>
      </w:r>
      <w:proofErr w:type="spellStart"/>
      <w:r>
        <w:t>седловое</w:t>
      </w:r>
      <w:proofErr w:type="spellEnd"/>
      <w:r>
        <w:t xml:space="preserve"> устройство и отключающее</w:t>
      </w:r>
      <w:r w:rsidRPr="00082255">
        <w:t xml:space="preserve"> </w:t>
      </w:r>
      <w:r>
        <w:t>устройство.</w:t>
      </w:r>
    </w:p>
    <w:p w:rsidR="005B5F76" w:rsidRPr="005B5F76" w:rsidRDefault="008F5B60" w:rsidP="005B5F76">
      <w:pPr>
        <w:ind w:left="-709"/>
        <w:jc w:val="both"/>
      </w:pPr>
      <w:r w:rsidRPr="00E25159">
        <w:rPr>
          <w:b/>
        </w:rPr>
        <w:t xml:space="preserve">лот № </w:t>
      </w:r>
      <w:r>
        <w:rPr>
          <w:b/>
        </w:rPr>
        <w:t>6</w:t>
      </w:r>
      <w:r w:rsidRPr="00E25159">
        <w:t xml:space="preserve">  - адрес (описание местоположения): </w:t>
      </w:r>
      <w:r w:rsidRPr="00C5008F">
        <w:t>земельный участок с кадастровым номером 34:20:030101:2594, местоположение: Волгоградская область, Новониколаевский район, р.п. Новониколаевский, ул. Народная, 210а, площадь 5600,0(пять тысяч шестьсот</w:t>
      </w:r>
      <w:proofErr w:type="gramStart"/>
      <w:r w:rsidRPr="00C5008F">
        <w:t>)к</w:t>
      </w:r>
      <w:proofErr w:type="gramEnd"/>
      <w:r w:rsidRPr="00C5008F">
        <w:t xml:space="preserve">в.м., в границах указанных в кадастровом паспорте, вид разрешенного использования «для гаража и стоянки </w:t>
      </w:r>
      <w:proofErr w:type="spellStart"/>
      <w:r w:rsidRPr="00C5008F">
        <w:t>автотехники</w:t>
      </w:r>
      <w:proofErr w:type="spellEnd"/>
      <w:r w:rsidRPr="00C5008F">
        <w:t>», категория земель «земли населенных пунктов».</w:t>
      </w:r>
      <w:r w:rsidR="005B5F76" w:rsidRPr="005B5F76">
        <w:t xml:space="preserve"> Срок действия договора аренды земельного участка 2</w:t>
      </w:r>
      <w:r w:rsidR="005B5F76">
        <w:t xml:space="preserve"> года 8 месяцев.</w:t>
      </w:r>
    </w:p>
    <w:tbl>
      <w:tblPr>
        <w:tblW w:w="9930" w:type="dxa"/>
        <w:tblInd w:w="-726" w:type="dxa"/>
        <w:tblBorders>
          <w:top w:val="single" w:sz="4" w:space="0" w:color="000001"/>
          <w:left w:val="single" w:sz="4" w:space="0" w:color="000001"/>
          <w:bottom w:val="single" w:sz="4" w:space="0" w:color="000001"/>
          <w:insideH w:val="single" w:sz="4" w:space="0" w:color="000001"/>
        </w:tblBorders>
        <w:tblCellMar>
          <w:left w:w="-5" w:type="dxa"/>
        </w:tblCellMar>
        <w:tblLook w:val="04A0"/>
      </w:tblPr>
      <w:tblGrid>
        <w:gridCol w:w="3737"/>
        <w:gridCol w:w="3192"/>
        <w:gridCol w:w="3001"/>
      </w:tblGrid>
      <w:tr w:rsidR="008F5B60" w:rsidTr="006C27A8">
        <w:trPr>
          <w:trHeight w:val="144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8F5B60" w:rsidRDefault="008F5B60" w:rsidP="006C27A8">
            <w:pPr>
              <w:ind w:right="-2"/>
              <w:jc w:val="center"/>
            </w:pPr>
            <w:proofErr w:type="gramStart"/>
            <w:r>
              <w:t>Начальная величина годовой арендной платы за земельный участок 1,5 % от кадастровой стоимости земельного участка), руб.</w:t>
            </w:r>
            <w:proofErr w:type="gramEnd"/>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8F5B60" w:rsidRDefault="008F5B60" w:rsidP="006C27A8">
            <w:pPr>
              <w:ind w:right="-2"/>
              <w:jc w:val="center"/>
            </w:pPr>
            <w:r>
              <w:t>Размер задатка для участия в аукционе (20% от начальной стоимости права аренды), руб.</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8F5B60" w:rsidRDefault="008F5B60" w:rsidP="006C27A8">
            <w:pPr>
              <w:ind w:right="-2"/>
              <w:jc w:val="center"/>
            </w:pPr>
            <w:r>
              <w:t>Шаг аукциона, (3% от начальной стоимости права аренды), руб.</w:t>
            </w:r>
          </w:p>
        </w:tc>
      </w:tr>
      <w:tr w:rsidR="008F5B60" w:rsidTr="006C27A8">
        <w:trPr>
          <w:trHeight w:val="37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8F5B60" w:rsidRPr="002C1533" w:rsidRDefault="008F5B60" w:rsidP="006C27A8">
            <w:pPr>
              <w:ind w:right="-2"/>
              <w:jc w:val="center"/>
              <w:rPr>
                <w:b/>
              </w:rPr>
            </w:pPr>
            <w:r>
              <w:rPr>
                <w:b/>
              </w:rPr>
              <w:t>24459,96</w:t>
            </w:r>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8F5B60" w:rsidRPr="002C1533" w:rsidRDefault="008F5B60" w:rsidP="006C27A8">
            <w:pPr>
              <w:ind w:right="-2"/>
              <w:jc w:val="center"/>
              <w:rPr>
                <w:b/>
              </w:rPr>
            </w:pPr>
            <w:r>
              <w:rPr>
                <w:b/>
              </w:rPr>
              <w:t>4891,99</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8F5B60" w:rsidRPr="002C1533" w:rsidRDefault="008F5B60" w:rsidP="006C27A8">
            <w:pPr>
              <w:ind w:right="-2"/>
              <w:jc w:val="center"/>
              <w:rPr>
                <w:b/>
              </w:rPr>
            </w:pPr>
            <w:r>
              <w:rPr>
                <w:b/>
              </w:rPr>
              <w:t>733,80</w:t>
            </w:r>
          </w:p>
        </w:tc>
      </w:tr>
    </w:tbl>
    <w:p w:rsidR="008F5B60" w:rsidRDefault="008F5B60" w:rsidP="008F5B60">
      <w:pPr>
        <w:pStyle w:val="a7"/>
        <w:spacing w:after="0" w:line="240" w:lineRule="atLeast"/>
        <w:ind w:left="-851" w:firstLine="539"/>
        <w:jc w:val="both"/>
      </w:pPr>
      <w:r>
        <w:rPr>
          <w:b/>
        </w:rPr>
        <w:t>Электроснабжение:</w:t>
      </w:r>
    </w:p>
    <w:p w:rsidR="008F5B60" w:rsidRDefault="008F5B60" w:rsidP="008F5B60">
      <w:pPr>
        <w:numPr>
          <w:ilvl w:val="0"/>
          <w:numId w:val="3"/>
        </w:numPr>
        <w:tabs>
          <w:tab w:val="left" w:pos="720"/>
        </w:tabs>
        <w:spacing w:line="240" w:lineRule="atLeast"/>
        <w:ind w:left="-709" w:firstLine="398"/>
        <w:jc w:val="both"/>
      </w:pPr>
      <w:proofErr w:type="gramStart"/>
      <w:r>
        <w:t xml:space="preserve">Объект капитального строительства находится на удалении не более 300 метров по прямой от объектов </w:t>
      </w:r>
      <w:proofErr w:type="spellStart"/>
      <w:r>
        <w:t>электросетевого</w:t>
      </w:r>
      <w:proofErr w:type="spellEnd"/>
      <w:r>
        <w:t xml:space="preserve"> хозяйства, принадлежащих филиалу Северные МЭС ПАО </w:t>
      </w:r>
      <w:r>
        <w:lastRenderedPageBreak/>
        <w:t>«</w:t>
      </w:r>
      <w:proofErr w:type="spellStart"/>
      <w:r>
        <w:t>Волгоградоблэлектро</w:t>
      </w:r>
      <w:proofErr w:type="spellEnd"/>
      <w:r>
        <w:t>».</w:t>
      </w:r>
      <w:proofErr w:type="gramEnd"/>
      <w:r>
        <w:t xml:space="preserve"> Для </w:t>
      </w:r>
      <w:proofErr w:type="gramStart"/>
      <w:r>
        <w:t>присоединении</w:t>
      </w:r>
      <w:proofErr w:type="gramEnd"/>
      <w:r>
        <w:t xml:space="preserve"> вышеуказанного объекта необходимо строительство ЛЭП-04 кВ от существующей опоры №1-4/2ВЛ-0,4 кВ № 1 от ТП – 550.</w:t>
      </w:r>
    </w:p>
    <w:p w:rsidR="008F5B60" w:rsidRDefault="008F5B60" w:rsidP="008F5B60">
      <w:pPr>
        <w:numPr>
          <w:ilvl w:val="0"/>
          <w:numId w:val="3"/>
        </w:numPr>
        <w:tabs>
          <w:tab w:val="left" w:pos="720"/>
        </w:tabs>
        <w:spacing w:line="240" w:lineRule="atLeast"/>
        <w:ind w:left="-709" w:firstLine="398"/>
        <w:jc w:val="both"/>
      </w:pPr>
      <w:r>
        <w:t>Размер платы за технологическое присоединение установлен приказом комитета тарифного регулирования Волгоградской области № 53/2 от 26.12.2017года.</w:t>
      </w:r>
    </w:p>
    <w:p w:rsidR="008F5B60" w:rsidRDefault="008F5B60" w:rsidP="008F5B60">
      <w:pPr>
        <w:numPr>
          <w:ilvl w:val="0"/>
          <w:numId w:val="3"/>
        </w:numPr>
        <w:tabs>
          <w:tab w:val="left" w:pos="720"/>
        </w:tabs>
        <w:spacing w:line="240" w:lineRule="atLeast"/>
        <w:ind w:left="-709" w:firstLine="398"/>
        <w:jc w:val="both"/>
      </w:pPr>
      <w:r>
        <w:t>Срок действия технических условий согласно п.24 Правил не может составлять менее 2 лет и более 5 лет со дня заключения договора технологического присоединения.</w:t>
      </w:r>
    </w:p>
    <w:p w:rsidR="008F5B60" w:rsidRDefault="008F5B60" w:rsidP="008F5B60">
      <w:pPr>
        <w:spacing w:line="240" w:lineRule="atLeast"/>
        <w:ind w:left="-709" w:firstLine="398"/>
        <w:jc w:val="both"/>
      </w:pPr>
      <w:r>
        <w:rPr>
          <w:b/>
        </w:rPr>
        <w:t>Газификация:</w:t>
      </w:r>
    </w:p>
    <w:p w:rsidR="008F5B60" w:rsidRDefault="008F5B60" w:rsidP="008F5B60">
      <w:pPr>
        <w:spacing w:line="240" w:lineRule="atLeast"/>
        <w:ind w:left="-709" w:firstLine="398"/>
        <w:jc w:val="both"/>
      </w:pPr>
      <w:r>
        <w:t xml:space="preserve">Объект газификации: капитальное строительство. Имеется техническая возможность подключения вышеуказанного объекта от надземного газопровода низкого давления Ǿ </w:t>
      </w:r>
      <w:r w:rsidRPr="008F5B60">
        <w:rPr>
          <w:color w:val="auto"/>
        </w:rPr>
        <w:t>109</w:t>
      </w:r>
      <w:r>
        <w:t xml:space="preserve"> мм.</w:t>
      </w:r>
    </w:p>
    <w:p w:rsidR="008F5B60" w:rsidRDefault="008F5B60" w:rsidP="008F5B60">
      <w:pPr>
        <w:spacing w:line="240" w:lineRule="atLeast"/>
        <w:ind w:left="-709" w:firstLine="398"/>
        <w:jc w:val="both"/>
      </w:pPr>
      <w:r>
        <w:rPr>
          <w:b/>
          <w:bCs/>
        </w:rPr>
        <w:t>Водоснабжение:</w:t>
      </w:r>
    </w:p>
    <w:p w:rsidR="008F5B60" w:rsidRDefault="008F5B60" w:rsidP="008F5B60">
      <w:pPr>
        <w:spacing w:line="240" w:lineRule="auto"/>
        <w:ind w:left="-709"/>
        <w:jc w:val="both"/>
      </w:pPr>
      <w:r>
        <w:t xml:space="preserve">Объект водоснабжения: капитальное строительство. Имеется техническая возможность подключения вышеуказанного объекта от существующего  водопровода (скважины) водонапорной башни «Восточной», водопровод заложен на глубине 2,0 м, напор в точке подключения к существующему водопроводу 1,5 м. Врезку осуществляет только эксплуатационная организация, установит вентиль </w:t>
      </w:r>
      <w:r>
        <w:rPr>
          <w:lang w:val="en-US"/>
        </w:rPr>
        <w:t>D</w:t>
      </w:r>
      <w:r w:rsidRPr="007720F9">
        <w:t xml:space="preserve"> 25</w:t>
      </w:r>
      <w:r>
        <w:t xml:space="preserve">мм. До врезки проложить трубу ПХВ </w:t>
      </w:r>
      <w:r>
        <w:rPr>
          <w:lang w:val="en-US"/>
        </w:rPr>
        <w:t>D</w:t>
      </w:r>
      <w:r>
        <w:t xml:space="preserve">25 мм, установить водомер. В момент врезки иметь  в наличии </w:t>
      </w:r>
      <w:proofErr w:type="spellStart"/>
      <w:r>
        <w:t>седловое</w:t>
      </w:r>
      <w:proofErr w:type="spellEnd"/>
      <w:r>
        <w:t xml:space="preserve"> устройство и отключающее</w:t>
      </w:r>
      <w:r w:rsidRPr="00082255">
        <w:t xml:space="preserve"> </w:t>
      </w:r>
      <w:r>
        <w:t>устройство.</w:t>
      </w:r>
    </w:p>
    <w:p w:rsidR="00346CFF" w:rsidRDefault="00F601A4" w:rsidP="00C5008F">
      <w:pPr>
        <w:spacing w:line="240" w:lineRule="auto"/>
        <w:ind w:left="-709" w:firstLine="398"/>
        <w:jc w:val="both"/>
      </w:pPr>
      <w:r>
        <w:t>Прием заявок на участие в аукционе осуществляется по установленной организатором аукциона форме заявки (Приложение №1), по адресу: Волгоградская область, Новониколаевский район, р.п. Новониколаевский, ул</w:t>
      </w:r>
      <w:proofErr w:type="gramStart"/>
      <w:r>
        <w:t>.Н</w:t>
      </w:r>
      <w:proofErr w:type="gramEnd"/>
      <w:r>
        <w:t xml:space="preserve">ародная, 128,  по рабочим дням с </w:t>
      </w:r>
      <w:r>
        <w:rPr>
          <w:color w:val="000000"/>
        </w:rPr>
        <w:t xml:space="preserve">09:00 </w:t>
      </w:r>
      <w:r w:rsidR="002F0227">
        <w:rPr>
          <w:color w:val="000000"/>
        </w:rPr>
        <w:t>1</w:t>
      </w:r>
      <w:r w:rsidR="00E00473">
        <w:rPr>
          <w:color w:val="000000"/>
        </w:rPr>
        <w:t>6</w:t>
      </w:r>
      <w:r>
        <w:rPr>
          <w:color w:val="000000"/>
        </w:rPr>
        <w:t>.0</w:t>
      </w:r>
      <w:r w:rsidR="005B5F76">
        <w:rPr>
          <w:color w:val="000000"/>
        </w:rPr>
        <w:t>5</w:t>
      </w:r>
      <w:r>
        <w:rPr>
          <w:color w:val="000000"/>
        </w:rPr>
        <w:t>.2019 года до</w:t>
      </w:r>
      <w:r>
        <w:rPr>
          <w:b/>
          <w:color w:val="000000"/>
        </w:rPr>
        <w:t xml:space="preserve"> </w:t>
      </w:r>
      <w:r>
        <w:rPr>
          <w:color w:val="000000"/>
        </w:rPr>
        <w:t xml:space="preserve">16:00 </w:t>
      </w:r>
      <w:r w:rsidR="002F0227">
        <w:rPr>
          <w:color w:val="000000"/>
        </w:rPr>
        <w:t>1</w:t>
      </w:r>
      <w:r w:rsidR="00E00473">
        <w:rPr>
          <w:color w:val="000000"/>
        </w:rPr>
        <w:t>4</w:t>
      </w:r>
      <w:r>
        <w:rPr>
          <w:color w:val="000000"/>
        </w:rPr>
        <w:t>.0</w:t>
      </w:r>
      <w:r w:rsidR="00E00473">
        <w:rPr>
          <w:color w:val="000000"/>
        </w:rPr>
        <w:t>6</w:t>
      </w:r>
      <w:r>
        <w:rPr>
          <w:color w:val="000000"/>
        </w:rPr>
        <w:t>.2019</w:t>
      </w:r>
      <w:r>
        <w:t xml:space="preserve"> года включительно.</w:t>
      </w:r>
    </w:p>
    <w:p w:rsidR="00346CFF" w:rsidRDefault="00F601A4" w:rsidP="00C5008F">
      <w:pPr>
        <w:ind w:left="-709" w:right="-2" w:firstLine="398"/>
        <w:jc w:val="both"/>
      </w:pPr>
      <w:r>
        <w:t>Размер задатк</w:t>
      </w:r>
      <w:r w:rsidR="00E00473">
        <w:t>ов</w:t>
      </w:r>
      <w:r>
        <w:t xml:space="preserve"> для участия в аукционе по лот</w:t>
      </w:r>
      <w:r w:rsidR="00E00473">
        <w:t>ам</w:t>
      </w:r>
      <w:r>
        <w:t xml:space="preserve">  №  1</w:t>
      </w:r>
      <w:r w:rsidR="00E00473">
        <w:t>,2,3,4,5,6</w:t>
      </w:r>
      <w:r>
        <w:t xml:space="preserve">  вносится на следующие реквизиты:      </w:t>
      </w:r>
    </w:p>
    <w:p w:rsidR="00346CFF" w:rsidRDefault="00F601A4" w:rsidP="00C5008F">
      <w:pPr>
        <w:ind w:left="-709" w:firstLine="398"/>
        <w:jc w:val="both"/>
      </w:pPr>
      <w:r>
        <w:t xml:space="preserve">    Получатель: УФК по Волгоградской области(Администрация Новониколаевского городского поселения, Новониколаевского муниципального района Волгоградской области, л/с 05293031200),  ИНН 3420009869, КПП 342001001, БИК 041806001,  </w:t>
      </w:r>
      <w:proofErr w:type="spellStart"/>
      <w:r>
        <w:t>р</w:t>
      </w:r>
      <w:proofErr w:type="spellEnd"/>
      <w:r>
        <w:t>/сч.40302810500003000525</w:t>
      </w:r>
      <w:r w:rsidR="0069179D">
        <w:t>, КБК</w:t>
      </w:r>
      <w:r w:rsidR="005B5F76">
        <w:t xml:space="preserve"> </w:t>
      </w:r>
      <w:r w:rsidR="0069179D">
        <w:t xml:space="preserve">95100000000000000000, </w:t>
      </w:r>
      <w:r>
        <w:t xml:space="preserve">Банк: отделение Волгоград, г. Волгоград. </w:t>
      </w:r>
    </w:p>
    <w:p w:rsidR="00346CFF" w:rsidRDefault="00F601A4" w:rsidP="005B5F76">
      <w:pPr>
        <w:ind w:left="-709"/>
        <w:jc w:val="both"/>
        <w:rPr>
          <w:b/>
          <w:bCs/>
        </w:rPr>
      </w:pPr>
      <w:r>
        <w:t xml:space="preserve">    Возвращение задатка осуществляется в соответствии с п.8 настоящего извещения.</w:t>
      </w:r>
    </w:p>
    <w:p w:rsidR="00346CFF" w:rsidRDefault="00F601A4" w:rsidP="005B5F76">
      <w:pPr>
        <w:ind w:left="-709"/>
        <w:jc w:val="both"/>
      </w:pPr>
      <w:r>
        <w:rPr>
          <w:bCs/>
          <w:color w:val="000000"/>
        </w:rPr>
        <w:t xml:space="preserve">    Аукцион является открытым по составу участников.</w:t>
      </w:r>
    </w:p>
    <w:p w:rsidR="00346CFF" w:rsidRDefault="00F601A4">
      <w:pPr>
        <w:ind w:left="-709"/>
        <w:jc w:val="both"/>
      </w:pPr>
      <w:r>
        <w:rPr>
          <w:b/>
        </w:rPr>
        <w:t xml:space="preserve">    </w:t>
      </w:r>
      <w:r>
        <w:t xml:space="preserve">Аукцион состоится по адресу: Волгоградская область, Новониколаевский район, р.п. Новониколаевский, улица Народная, 128, зал заседаний, в 10 </w:t>
      </w:r>
      <w:r>
        <w:rPr>
          <w:color w:val="000000"/>
        </w:rPr>
        <w:t xml:space="preserve">час 00 мин. </w:t>
      </w:r>
      <w:r w:rsidR="002F0227">
        <w:rPr>
          <w:color w:val="000000"/>
        </w:rPr>
        <w:t>1</w:t>
      </w:r>
      <w:r w:rsidR="00E00473">
        <w:rPr>
          <w:color w:val="000000"/>
        </w:rPr>
        <w:t>8</w:t>
      </w:r>
      <w:r>
        <w:rPr>
          <w:color w:val="000000"/>
        </w:rPr>
        <w:t>.0</w:t>
      </w:r>
      <w:r w:rsidR="00E00473">
        <w:rPr>
          <w:color w:val="000000"/>
        </w:rPr>
        <w:t>6</w:t>
      </w:r>
      <w:r>
        <w:rPr>
          <w:color w:val="000000"/>
        </w:rPr>
        <w:t xml:space="preserve">.2019 </w:t>
      </w:r>
      <w:r>
        <w:t>года                в следующем порядке:</w:t>
      </w:r>
    </w:p>
    <w:p w:rsidR="00346CFF" w:rsidRDefault="00F601A4">
      <w:pPr>
        <w:suppressAutoHyphens w:val="0"/>
        <w:ind w:left="-709" w:firstLine="425"/>
        <w:jc w:val="both"/>
      </w:pPr>
      <w:r>
        <w:t>1. Для участия в аукционе заявители представляют в установленный в извещении о проведен</w:t>
      </w:r>
      <w:proofErr w:type="gramStart"/>
      <w:r>
        <w:t>ии ау</w:t>
      </w:r>
      <w:proofErr w:type="gramEnd"/>
      <w:r>
        <w:t>кциона срок следующие документы:</w:t>
      </w:r>
    </w:p>
    <w:p w:rsidR="00346CFF" w:rsidRDefault="00F601A4">
      <w:pPr>
        <w:suppressAutoHyphens w:val="0"/>
        <w:ind w:left="-709" w:firstLine="425"/>
        <w:jc w:val="both"/>
      </w:pPr>
      <w:r>
        <w:t>1) заявка на участие в аукционе по установленной в извещении о проведен</w:t>
      </w:r>
      <w:proofErr w:type="gramStart"/>
      <w:r>
        <w:t>ии ау</w:t>
      </w:r>
      <w:proofErr w:type="gramEnd"/>
      <w:r>
        <w:t>кциона форме (Приложение № 1) с  указанием банковских реквизитов счета для возврата задатка;</w:t>
      </w:r>
    </w:p>
    <w:p w:rsidR="00346CFF" w:rsidRDefault="00F601A4">
      <w:pPr>
        <w:suppressAutoHyphens w:val="0"/>
        <w:ind w:left="-709" w:firstLine="425"/>
        <w:jc w:val="both"/>
      </w:pPr>
      <w:r>
        <w:t>2) копии документов, удостоверяющих личность заявителя (для граждан);</w:t>
      </w:r>
    </w:p>
    <w:p w:rsidR="00346CFF" w:rsidRDefault="00F601A4">
      <w:pPr>
        <w:suppressAutoHyphens w:val="0"/>
        <w:ind w:left="-709" w:firstLine="425"/>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46CFF" w:rsidRDefault="00F601A4">
      <w:pPr>
        <w:suppressAutoHyphens w:val="0"/>
        <w:ind w:left="-709" w:firstLine="425"/>
        <w:jc w:val="both"/>
      </w:pPr>
      <w:r>
        <w:t>4) документы, подтверждающие внесение задатка.</w:t>
      </w:r>
    </w:p>
    <w:p w:rsidR="00346CFF" w:rsidRDefault="00F601A4">
      <w:pPr>
        <w:suppressAutoHyphens w:val="0"/>
        <w:ind w:left="-709" w:firstLine="425"/>
        <w:jc w:val="both"/>
      </w:pPr>
      <w:r>
        <w:t>2. Представление документов, подтверждающих внесение задатка, признается заключением соглашения о задатке.</w:t>
      </w:r>
    </w:p>
    <w:p w:rsidR="00346CFF" w:rsidRDefault="00F601A4">
      <w:pPr>
        <w:suppressAutoHyphens w:val="0"/>
        <w:ind w:left="-709" w:firstLine="425"/>
        <w:jc w:val="both"/>
      </w:pPr>
      <w:r>
        <w:t>3. Один заявитель вправе подать только одну заявку на участие в аукционе.</w:t>
      </w:r>
    </w:p>
    <w:p w:rsidR="00346CFF" w:rsidRDefault="00F601A4">
      <w:pPr>
        <w:suppressAutoHyphens w:val="0"/>
        <w:ind w:left="-709" w:firstLine="425"/>
        <w:jc w:val="both"/>
      </w:pPr>
      <w:r>
        <w:t>4. Заявка на участие в аукционе, поступившая по истечении срока приема заявок, возвращается заявителю в день ее поступления.</w:t>
      </w:r>
    </w:p>
    <w:p w:rsidR="00346CFF" w:rsidRDefault="00F601A4">
      <w:pPr>
        <w:suppressAutoHyphens w:val="0"/>
        <w:ind w:left="-709" w:firstLine="425"/>
        <w:jc w:val="both"/>
      </w:pPr>
      <w:r>
        <w:t>5.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46CFF" w:rsidRDefault="00F601A4">
      <w:pPr>
        <w:suppressAutoHyphens w:val="0"/>
        <w:ind w:left="-709" w:firstLine="425"/>
        <w:jc w:val="both"/>
      </w:pPr>
      <w:bookmarkStart w:id="0" w:name="Par16"/>
      <w:bookmarkEnd w:id="0"/>
      <w:r>
        <w:lastRenderedPageBreak/>
        <w:t xml:space="preserve">6. Организатор аукциона ведет протокол рассмотрения заявок на участие в аукционе. Заявитель, признанный участником аукциона, становится участником аукциона </w:t>
      </w:r>
      <w:proofErr w:type="gramStart"/>
      <w:r>
        <w:t>с даты подписания</w:t>
      </w:r>
      <w:proofErr w:type="gramEnd"/>
      <w:r>
        <w:t xml:space="preserve">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t>позднее</w:t>
      </w:r>
      <w:proofErr w:type="gramEnd"/>
      <w:r>
        <w:t xml:space="preserve"> чем на следующий день после дня подписания протокола.</w:t>
      </w:r>
    </w:p>
    <w:p w:rsidR="00346CFF" w:rsidRDefault="00F601A4">
      <w:pPr>
        <w:suppressAutoHyphens w:val="0"/>
        <w:ind w:left="-709" w:firstLine="425"/>
        <w:jc w:val="both"/>
      </w:pPr>
      <w:r>
        <w:t>7.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346CFF" w:rsidRDefault="00F601A4">
      <w:pPr>
        <w:suppressAutoHyphens w:val="0"/>
        <w:ind w:left="-709" w:firstLine="425"/>
        <w:jc w:val="both"/>
      </w:pPr>
      <w:r>
        <w:t xml:space="preserve">8. Организатор аукциона обязан вернуть заявителю, не допущенному к участию в аукционе, внесенный им задаток в течение </w:t>
      </w:r>
      <w:r>
        <w:rPr>
          <w:b/>
        </w:rPr>
        <w:t>трех рабочих дней</w:t>
      </w:r>
      <w:r>
        <w:t xml:space="preserve"> со дня оформления протокола приема заявок на участие в аукционе.</w:t>
      </w:r>
    </w:p>
    <w:p w:rsidR="00346CFF" w:rsidRDefault="00F601A4">
      <w:pPr>
        <w:suppressAutoHyphens w:val="0"/>
        <w:ind w:left="-709" w:firstLine="425"/>
        <w:jc w:val="both"/>
      </w:pPr>
      <w:r>
        <w:t>9.В Новониколаевском городском поселении Новониколаевского муниципального района Волгоградской области заявитель может ознакомиться с технической и юридической документацией, в том числе с формой заявки на участие в торгах, проектом договора аренды земельного участка, получить информацию о местоположении участков для осмотра их на местности. Получить информацию о земельных участках также возможно на официальном сайте администрации Новониколаевского городского поселения Новониколаевского муниципального района Волгоградской области «</w:t>
      </w:r>
      <w:proofErr w:type="spellStart"/>
      <w:r>
        <w:rPr>
          <w:lang w:val="en-US"/>
        </w:rPr>
        <w:t>novonik</w:t>
      </w:r>
      <w:proofErr w:type="spellEnd"/>
      <w:r w:rsidRPr="002F0227">
        <w:t>34.</w:t>
      </w:r>
      <w:proofErr w:type="spellStart"/>
      <w:r>
        <w:rPr>
          <w:lang w:val="en-US"/>
        </w:rPr>
        <w:t>ru</w:t>
      </w:r>
      <w:proofErr w:type="spellEnd"/>
      <w:r w:rsidRPr="002F0227">
        <w:t>”</w:t>
      </w:r>
      <w:r>
        <w:t xml:space="preserve">  и на официальном сайте Российской Федерации для размещения информации о проведении торгов </w:t>
      </w:r>
      <w:proofErr w:type="spellStart"/>
      <w:r>
        <w:rPr>
          <w:lang w:val="en-US"/>
        </w:rPr>
        <w:t>torgi</w:t>
      </w:r>
      <w:proofErr w:type="spellEnd"/>
      <w:r w:rsidRPr="002F0227">
        <w:t>.</w:t>
      </w:r>
      <w:proofErr w:type="spellStart"/>
      <w:r>
        <w:rPr>
          <w:lang w:val="en-US"/>
        </w:rPr>
        <w:t>gov</w:t>
      </w:r>
      <w:proofErr w:type="spellEnd"/>
      <w:r w:rsidRPr="002F0227">
        <w:t>.</w:t>
      </w:r>
      <w:proofErr w:type="spellStart"/>
      <w:r>
        <w:rPr>
          <w:lang w:val="en-US"/>
        </w:rPr>
        <w:t>ru</w:t>
      </w:r>
      <w:proofErr w:type="spellEnd"/>
      <w:r w:rsidRPr="002F0227">
        <w:t>.</w:t>
      </w:r>
      <w:r>
        <w:t xml:space="preserve"> Победитель аукциона, не реализовавший свое право на осмотр земельного участка и изучение его документации, лишается права предъявлять претензии к отделу по управлению муниципальным имуществом администрации Новониколаевского муниципального района Волгоградской области по поводу состояния предмета аукциона.</w:t>
      </w:r>
    </w:p>
    <w:p w:rsidR="00346CFF" w:rsidRDefault="00F601A4">
      <w:pPr>
        <w:suppressAutoHyphens w:val="0"/>
        <w:ind w:left="-709" w:firstLine="425"/>
        <w:jc w:val="both"/>
      </w:pPr>
      <w:r>
        <w:t xml:space="preserve">10.Границы земельных участков указаны в выписках из Единого государственного реестра недвижимости, с которыми можно ознакомиться в отделе по управлению муниципальным имуществом администрации Новониколаевского муниципального района Волгоградской области, в справочно-информационном сервисе в сети </w:t>
      </w:r>
      <w:proofErr w:type="spellStart"/>
      <w:proofErr w:type="gramStart"/>
      <w:r>
        <w:t>интернет-публичной</w:t>
      </w:r>
      <w:proofErr w:type="spellEnd"/>
      <w:proofErr w:type="gramEnd"/>
      <w:r>
        <w:t xml:space="preserve"> кадастровой карте.</w:t>
      </w:r>
    </w:p>
    <w:p w:rsidR="00346CFF" w:rsidRDefault="00F601A4">
      <w:pPr>
        <w:suppressAutoHyphens w:val="0"/>
        <w:ind w:left="-709" w:firstLine="425"/>
        <w:jc w:val="both"/>
      </w:pPr>
      <w:r>
        <w:t>11.Администрация Новониколаевского городского поселения Новониколаевского муниципального района Волгоградской области принимает решение об отказе в проведен</w:t>
      </w:r>
      <w:proofErr w:type="gramStart"/>
      <w:r>
        <w:t>ии ау</w:t>
      </w:r>
      <w:proofErr w:type="gramEnd"/>
      <w:r>
        <w:t>кциона не позднее, чем за три дня до его проведения, в случае выявления обстоятельств, предусмотренных п.8 ст.39.11 Земельного кодекса Российской Федерации. Извещение об отказе в проведен</w:t>
      </w:r>
      <w:proofErr w:type="gramStart"/>
      <w:r>
        <w:t>ии ау</w:t>
      </w:r>
      <w:proofErr w:type="gramEnd"/>
      <w:r>
        <w:t>кциона размещается на официальном сайте администрацией Новониколаевского городского поселения Новониколаевского муниципального района Волгоградской области  в течение трех дней со дня принятия данного решения. Администрация Новониколаевского городского поселения Новониколаевского муниципального района Волгоградской области в течение трех дней со дня принятия решения об отказе в проведен</w:t>
      </w:r>
      <w:proofErr w:type="gramStart"/>
      <w:r>
        <w:t>ии ау</w:t>
      </w:r>
      <w:proofErr w:type="gramEnd"/>
      <w:r>
        <w:t>кциона обязано известить участников аукциона об отказе в проведении аукциона и возвратить его участникам внесенные задатки.</w:t>
      </w:r>
    </w:p>
    <w:p w:rsidR="00346CFF" w:rsidRDefault="00F601A4">
      <w:pPr>
        <w:suppressAutoHyphens w:val="0"/>
        <w:ind w:left="-709" w:firstLine="425"/>
        <w:jc w:val="both"/>
      </w:pPr>
      <w:r>
        <w:t>12. В случае</w:t>
      </w:r>
      <w:proofErr w:type="gramStart"/>
      <w:r>
        <w:t>,</w:t>
      </w:r>
      <w:proofErr w:type="gramEnd"/>
      <w: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46CFF" w:rsidRDefault="00F601A4">
      <w:pPr>
        <w:suppressAutoHyphens w:val="0"/>
        <w:ind w:left="-709" w:firstLine="425"/>
        <w:jc w:val="both"/>
      </w:pPr>
      <w:r>
        <w:t>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346CFF" w:rsidRDefault="00F601A4">
      <w:pPr>
        <w:suppressAutoHyphens w:val="0"/>
        <w:ind w:left="-709" w:firstLine="425"/>
        <w:jc w:val="both"/>
      </w:pPr>
      <w:bookmarkStart w:id="1" w:name="Par21"/>
      <w:bookmarkEnd w:id="1"/>
      <w: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w:t>
      </w:r>
      <w:r>
        <w:lastRenderedPageBreak/>
        <w:t>заявитель, подавший указанную заявку, соответствуют всем требованиям и указанным в извещении о проведен</w:t>
      </w:r>
      <w:proofErr w:type="gramStart"/>
      <w:r>
        <w:t>ии ау</w:t>
      </w:r>
      <w:proofErr w:type="gramEnd"/>
      <w: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346CFF" w:rsidRDefault="00F601A4">
      <w:pPr>
        <w:suppressAutoHyphens w:val="0"/>
        <w:ind w:left="-709" w:firstLine="425"/>
        <w:jc w:val="both"/>
      </w:pPr>
      <w:r>
        <w:t>15.Аукцион проводится в следующем порядке:</w:t>
      </w:r>
    </w:p>
    <w:p w:rsidR="00346CFF" w:rsidRDefault="00F601A4">
      <w:pPr>
        <w:suppressAutoHyphens w:val="0"/>
        <w:ind w:left="-709" w:firstLine="425"/>
        <w:jc w:val="both"/>
      </w:pPr>
      <w:r>
        <w:t xml:space="preserve">аукцион, открытый по форме подачи предложений о цене предмета аукциона; </w:t>
      </w:r>
    </w:p>
    <w:p w:rsidR="00346CFF" w:rsidRDefault="00F601A4">
      <w:pPr>
        <w:suppressAutoHyphens w:val="0"/>
        <w:ind w:left="-709" w:firstLine="425"/>
        <w:jc w:val="both"/>
      </w:pPr>
      <w:r>
        <w:t>аукцион начинается с оглашения аукционистом наименования, основных характеристик, начальной цены и «шага аукциона»;</w:t>
      </w:r>
    </w:p>
    <w:p w:rsidR="00346CFF" w:rsidRDefault="00F601A4">
      <w:pPr>
        <w:suppressAutoHyphens w:val="0"/>
        <w:ind w:left="-709" w:firstLine="425"/>
        <w:jc w:val="both"/>
      </w:pPr>
      <w:r>
        <w:t>после оглашения аукционистом начальной цены и каждой очередной цены, участники поднимают пронумерованные билеты в случае, если готов заключить договор аренды или договор купли-продажи в соответствии с этой ценой;</w:t>
      </w:r>
    </w:p>
    <w:p w:rsidR="00346CFF" w:rsidRDefault="00F601A4">
      <w:pPr>
        <w:suppressAutoHyphens w:val="0"/>
        <w:ind w:left="-709" w:firstLine="425"/>
        <w:jc w:val="both"/>
      </w:pPr>
      <w:r>
        <w:t>билеты поднимаются не ниже уровня плеча и не опускаются до оглашения аукционистом номера билета участника;</w:t>
      </w:r>
    </w:p>
    <w:p w:rsidR="00346CFF" w:rsidRDefault="00F601A4">
      <w:pPr>
        <w:suppressAutoHyphens w:val="0"/>
        <w:ind w:left="-709" w:firstLine="425"/>
        <w:jc w:val="both"/>
      </w:pPr>
      <w:r>
        <w:t xml:space="preserve">каждую последующую цену аукционист назначает путем увеличения текущей цены на «шаг аукциона» в размере 3 процентов начальной цены и не изменяется в течение всего аукциона; </w:t>
      </w:r>
    </w:p>
    <w:p w:rsidR="00346CFF" w:rsidRDefault="00F601A4">
      <w:pPr>
        <w:suppressAutoHyphens w:val="0"/>
        <w:ind w:left="-709" w:firstLine="425"/>
        <w:jc w:val="both"/>
      </w:pPr>
      <w:r>
        <w:t>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после чего участники аукциона опускают билеты. Затем аукционист объявляет следующую цену в соответствии с «шагом аукциона»;</w:t>
      </w:r>
    </w:p>
    <w:p w:rsidR="00346CFF" w:rsidRDefault="00F601A4">
      <w:pPr>
        <w:suppressAutoHyphens w:val="0"/>
        <w:ind w:left="-709" w:firstLine="425"/>
        <w:jc w:val="both"/>
      </w:pPr>
      <w:r>
        <w:t xml:space="preserve">участник вправе предложить более высокую цену предмета </w:t>
      </w:r>
      <w:proofErr w:type="gramStart"/>
      <w:r>
        <w:t>аукциона</w:t>
      </w:r>
      <w:proofErr w:type="gramEnd"/>
      <w:r>
        <w:t xml:space="preserve"> чем цена, объявленная аукционистом. В данном случае аукционист оглашает следующую цену «шага аукциона», </w:t>
      </w:r>
      <w:proofErr w:type="spellStart"/>
      <w:proofErr w:type="gramStart"/>
      <w:r>
        <w:t>кото-рая</w:t>
      </w:r>
      <w:proofErr w:type="spellEnd"/>
      <w:proofErr w:type="gramEnd"/>
      <w:r>
        <w:t xml:space="preserve"> не ниже цены, предложенной участником;</w:t>
      </w:r>
    </w:p>
    <w:p w:rsidR="00346CFF" w:rsidRDefault="00F601A4">
      <w:pPr>
        <w:suppressAutoHyphens w:val="0"/>
        <w:ind w:left="-709" w:firstLine="425"/>
        <w:jc w:val="both"/>
      </w:pPr>
      <w:r>
        <w:t>если после троекратного объявления очередной цены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цену предмета аукциона;</w:t>
      </w:r>
    </w:p>
    <w:p w:rsidR="00346CFF" w:rsidRDefault="00F601A4">
      <w:pPr>
        <w:suppressAutoHyphens w:val="0"/>
        <w:ind w:left="-709" w:firstLine="425"/>
        <w:jc w:val="both"/>
      </w:pPr>
      <w:r>
        <w:t>по  завершен</w:t>
      </w:r>
      <w:proofErr w:type="gramStart"/>
      <w:r>
        <w:t>ии ау</w:t>
      </w:r>
      <w:proofErr w:type="gramEnd"/>
      <w:r>
        <w:t>кциона аукционист объявляет о продаже права на заключение договора аренды или договора купли-продажи земельного участка, называет цену проданного земельного участка и номер билета победителя аукциона;</w:t>
      </w:r>
    </w:p>
    <w:p w:rsidR="00346CFF" w:rsidRDefault="00F601A4">
      <w:pPr>
        <w:suppressAutoHyphens w:val="0"/>
        <w:ind w:left="-709" w:firstLine="425"/>
        <w:jc w:val="both"/>
      </w:pPr>
      <w:r>
        <w:t>до завершения проведения аукциона по конкретному лоту участники не покидают зал.</w:t>
      </w:r>
    </w:p>
    <w:p w:rsidR="00346CFF" w:rsidRDefault="00F601A4">
      <w:pPr>
        <w:suppressAutoHyphens w:val="0"/>
        <w:ind w:left="-709" w:firstLine="425"/>
        <w:jc w:val="both"/>
      </w:pPr>
      <w:r>
        <w:t xml:space="preserve">16.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346CFF" w:rsidRDefault="00F601A4">
      <w:pPr>
        <w:suppressAutoHyphens w:val="0"/>
        <w:ind w:left="-709" w:firstLine="425"/>
        <w:jc w:val="both"/>
      </w:pPr>
      <w:r>
        <w:t>17. Протокол о результатах аукциона размещается на официальном сайте в течение одного рабочего дня со дня подписания данного протокола.</w:t>
      </w:r>
    </w:p>
    <w:p w:rsidR="00346CFF" w:rsidRDefault="00F601A4">
      <w:pPr>
        <w:suppressAutoHyphens w:val="0"/>
        <w:ind w:left="-709" w:firstLine="425"/>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46CFF" w:rsidRDefault="00F601A4">
      <w:pPr>
        <w:suppressAutoHyphens w:val="0"/>
        <w:ind w:left="-709" w:firstLine="425"/>
        <w:jc w:val="both"/>
      </w:pPr>
      <w:r>
        <w:t>19. В случае</w:t>
      </w:r>
      <w:proofErr w:type="gramStart"/>
      <w:r>
        <w:t>,</w:t>
      </w:r>
      <w:proofErr w:type="gramEnd"/>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46CFF" w:rsidRDefault="00F601A4">
      <w:pPr>
        <w:suppressAutoHyphens w:val="0"/>
        <w:ind w:left="-709" w:firstLine="425"/>
        <w:jc w:val="both"/>
      </w:pPr>
      <w:bookmarkStart w:id="2" w:name="Par33"/>
      <w:bookmarkEnd w:id="2"/>
      <w: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t xml:space="preserve"> Не допускается </w:t>
      </w:r>
      <w:r>
        <w:lastRenderedPageBreak/>
        <w:t xml:space="preserve">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w:t>
      </w:r>
    </w:p>
    <w:p w:rsidR="00346CFF" w:rsidRDefault="00F601A4">
      <w:pPr>
        <w:suppressAutoHyphens w:val="0"/>
        <w:ind w:left="-709" w:firstLine="425"/>
        <w:jc w:val="both"/>
      </w:pPr>
      <w:r>
        <w:t xml:space="preserve">21. 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r>
        <w:rPr>
          <w:rStyle w:val="-"/>
          <w:color w:val="000000"/>
          <w:u w:val="none"/>
        </w:rPr>
        <w:t>пунктом 10</w:t>
      </w:r>
      <w:r>
        <w:rPr>
          <w:color w:val="000000"/>
        </w:rPr>
        <w:t>,</w:t>
      </w:r>
      <w:r>
        <w:t xml:space="preserve"> </w:t>
      </w:r>
      <w:r>
        <w:rPr>
          <w:rStyle w:val="-"/>
          <w:color w:val="000000"/>
          <w:u w:val="none"/>
        </w:rPr>
        <w:t>11</w:t>
      </w:r>
      <w:r>
        <w:t xml:space="preserve"> или </w:t>
      </w:r>
      <w:r>
        <w:rPr>
          <w:rStyle w:val="-"/>
          <w:color w:val="000000"/>
          <w:u w:val="none"/>
        </w:rPr>
        <w:t>17</w:t>
      </w:r>
      <w:r>
        <w:t xml:space="preserve"> настоящего порядка,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346CFF" w:rsidRDefault="00F601A4">
      <w:pPr>
        <w:suppressAutoHyphens w:val="0"/>
        <w:ind w:left="-709" w:firstLine="425"/>
        <w:jc w:val="both"/>
      </w:pPr>
      <w:bookmarkStart w:id="3" w:name="Par37"/>
      <w:bookmarkEnd w:id="3"/>
      <w:r>
        <w:t>22. 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346CFF" w:rsidRDefault="00F601A4">
      <w:pPr>
        <w:suppressAutoHyphens w:val="0"/>
        <w:ind w:left="-709" w:firstLine="425"/>
        <w:jc w:val="both"/>
      </w:pPr>
      <w:bookmarkStart w:id="4" w:name="Par44"/>
      <w:bookmarkEnd w:id="4"/>
      <w:r>
        <w:t>23. В случае</w:t>
      </w:r>
      <w:proofErr w:type="gramStart"/>
      <w:r>
        <w:t>,</w:t>
      </w:r>
      <w:proofErr w:type="gramEnd"/>
      <w: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346CFF" w:rsidRDefault="00F601A4">
      <w:pPr>
        <w:suppressAutoHyphens w:val="0"/>
        <w:ind w:left="-709" w:firstLine="425"/>
        <w:jc w:val="both"/>
      </w:pPr>
      <w:r>
        <w:t>24. В случае</w:t>
      </w:r>
      <w:proofErr w:type="gramStart"/>
      <w:r>
        <w:t>,</w:t>
      </w:r>
      <w:proofErr w:type="gramEnd"/>
      <w:r>
        <w:t xml:space="preserve"> если победитель аукциона или иное лицо, с которым договор аренды земельного участка заключается в соответствии с </w:t>
      </w:r>
      <w:r>
        <w:rPr>
          <w:rStyle w:val="-"/>
          <w:color w:val="000000"/>
          <w:u w:val="none"/>
        </w:rPr>
        <w:t>пунктом 10</w:t>
      </w:r>
      <w:r>
        <w:rPr>
          <w:color w:val="000000"/>
        </w:rPr>
        <w:t>,</w:t>
      </w:r>
      <w:r>
        <w:t xml:space="preserve"> </w:t>
      </w:r>
      <w:r>
        <w:rPr>
          <w:rStyle w:val="-"/>
          <w:color w:val="000000"/>
          <w:u w:val="none"/>
        </w:rPr>
        <w:t>11</w:t>
      </w:r>
      <w:r>
        <w:t xml:space="preserve"> или </w:t>
      </w:r>
      <w:r>
        <w:rPr>
          <w:rStyle w:val="-"/>
          <w:color w:val="000000"/>
          <w:u w:val="none"/>
        </w:rPr>
        <w:t>17</w:t>
      </w:r>
      <w:r>
        <w:t xml:space="preserve"> настоящего порядка,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r>
        <w:rPr>
          <w:rStyle w:val="-"/>
          <w:color w:val="000000"/>
          <w:u w:val="none"/>
        </w:rPr>
        <w:t>подпунктами</w:t>
      </w:r>
      <w:r>
        <w:rPr>
          <w:rStyle w:val="-"/>
          <w:u w:val="none"/>
        </w:rPr>
        <w:t xml:space="preserve"> </w:t>
      </w:r>
      <w:r>
        <w:rPr>
          <w:rStyle w:val="-"/>
          <w:color w:val="000000"/>
          <w:u w:val="none"/>
        </w:rPr>
        <w:t>1</w:t>
      </w:r>
      <w:r>
        <w:t xml:space="preserve"> - 3 пункта 29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346CFF" w:rsidRDefault="00F601A4">
      <w:pPr>
        <w:suppressAutoHyphens w:val="0"/>
        <w:ind w:left="-709" w:firstLine="425"/>
        <w:jc w:val="both"/>
      </w:pPr>
      <w:proofErr w:type="gramStart"/>
      <w:r>
        <w:t xml:space="preserve">25.Внесение сведений о победителях аукциона, уклонившегося от заключения договора аренды земельного участка, или  об иных лицах с которыми заключается данный договор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r>
        <w:rPr>
          <w:rStyle w:val="-"/>
          <w:color w:val="000000"/>
          <w:u w:val="none"/>
        </w:rPr>
        <w:t>пунктом 32</w:t>
      </w:r>
      <w:r>
        <w:t xml:space="preserve"> статьи 39.12 Земельного Кодекса РФ, могут быть обжалованы заинтересованным лицом в судебном порядке.</w:t>
      </w:r>
      <w:proofErr w:type="gramEnd"/>
    </w:p>
    <w:p w:rsidR="00346CFF" w:rsidRDefault="00346CFF">
      <w:pPr>
        <w:suppressAutoHyphens w:val="0"/>
        <w:ind w:left="-709" w:firstLine="425"/>
        <w:jc w:val="both"/>
        <w:rPr>
          <w:i/>
          <w:color w:val="FF0000"/>
        </w:rPr>
      </w:pPr>
    </w:p>
    <w:p w:rsidR="00346CFF" w:rsidRDefault="00F601A4">
      <w:pPr>
        <w:ind w:left="-851"/>
        <w:jc w:val="both"/>
      </w:pPr>
      <w:r>
        <w:t xml:space="preserve">     </w:t>
      </w:r>
    </w:p>
    <w:p w:rsidR="00474C3C" w:rsidRDefault="00F601A4">
      <w:pPr>
        <w:ind w:left="-851"/>
        <w:jc w:val="both"/>
      </w:pPr>
      <w:r>
        <w:t xml:space="preserve">  </w:t>
      </w:r>
      <w:r w:rsidR="00474C3C">
        <w:t xml:space="preserve"> </w:t>
      </w:r>
      <w:r>
        <w:t>Глава Новониколаевского городского</w:t>
      </w:r>
    </w:p>
    <w:p w:rsidR="00474C3C" w:rsidRDefault="00474C3C">
      <w:pPr>
        <w:ind w:left="-851"/>
        <w:jc w:val="both"/>
      </w:pPr>
      <w:r>
        <w:t xml:space="preserve"> </w:t>
      </w:r>
      <w:r w:rsidR="00F601A4">
        <w:t xml:space="preserve"> </w:t>
      </w:r>
      <w:r>
        <w:t xml:space="preserve"> </w:t>
      </w:r>
      <w:r w:rsidR="00F601A4">
        <w:t xml:space="preserve">поселения     </w:t>
      </w:r>
      <w:r>
        <w:t xml:space="preserve">Новониколаевского муниципального района </w:t>
      </w:r>
    </w:p>
    <w:p w:rsidR="00346CFF" w:rsidRDefault="00474C3C">
      <w:pPr>
        <w:ind w:left="-851"/>
        <w:jc w:val="both"/>
      </w:pPr>
      <w:r>
        <w:t xml:space="preserve">   Волгоградской области                                         </w:t>
      </w:r>
      <w:r w:rsidR="00F601A4">
        <w:t xml:space="preserve">                                                      </w:t>
      </w:r>
      <w:proofErr w:type="spellStart"/>
      <w:r w:rsidR="00F601A4">
        <w:t>А.В.Скопинцев</w:t>
      </w:r>
      <w:proofErr w:type="spellEnd"/>
    </w:p>
    <w:p w:rsidR="00346CFF" w:rsidRDefault="00F601A4">
      <w:pPr>
        <w:pStyle w:val="ac"/>
        <w:shd w:val="clear" w:color="auto" w:fill="FFFFFF"/>
      </w:pPr>
      <w:r>
        <w:rPr>
          <w:rFonts w:ascii="Times New Roman" w:hAnsi="Times New Roman" w:cs="Times New Roman"/>
          <w:sz w:val="21"/>
          <w:szCs w:val="21"/>
        </w:rPr>
        <w:t xml:space="preserve">                                           </w:t>
      </w: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rPr>
          <w:rStyle w:val="a5"/>
          <w:color w:val="000000"/>
          <w:sz w:val="21"/>
          <w:szCs w:val="21"/>
        </w:rPr>
      </w:pPr>
    </w:p>
    <w:p w:rsidR="001E35DB" w:rsidRDefault="001E35DB" w:rsidP="001E35DB">
      <w:pPr>
        <w:pStyle w:val="ac"/>
        <w:shd w:val="clear" w:color="auto" w:fill="FFFFFF"/>
        <w:jc w:val="center"/>
      </w:pPr>
      <w:r>
        <w:rPr>
          <w:rStyle w:val="a5"/>
          <w:color w:val="000000"/>
          <w:sz w:val="21"/>
          <w:szCs w:val="21"/>
        </w:rPr>
        <w:lastRenderedPageBreak/>
        <w:t>ФОРМА ЗАЯВКИ НА УЧАСТИЕ В ТОРГАХ</w:t>
      </w:r>
    </w:p>
    <w:p w:rsidR="001E35DB" w:rsidRDefault="001E35DB" w:rsidP="001E35DB">
      <w:pPr>
        <w:pStyle w:val="ac"/>
        <w:shd w:val="clear" w:color="auto" w:fill="FFFFFF"/>
        <w:jc w:val="center"/>
      </w:pPr>
      <w:r>
        <w:rPr>
          <w:rStyle w:val="a5"/>
          <w:color w:val="000000"/>
          <w:sz w:val="21"/>
          <w:szCs w:val="21"/>
        </w:rPr>
        <w:t>на право заключения договора аренды земельного участка</w:t>
      </w:r>
    </w:p>
    <w:p w:rsidR="001E35DB" w:rsidRDefault="001E35DB" w:rsidP="001E35DB">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_________________________________________________________________________________________</w:t>
      </w:r>
    </w:p>
    <w:p w:rsidR="001E35DB" w:rsidRDefault="001E35DB" w:rsidP="001E35DB">
      <w:pPr>
        <w:pStyle w:val="ConsPlusNonformat"/>
        <w:widowControl/>
        <w:shd w:val="clear" w:color="auto" w:fill="FFFFFF"/>
        <w:jc w:val="center"/>
        <w:rPr>
          <w:rFonts w:ascii="Times New Roman" w:hAnsi="Times New Roman" w:cs="Times New Roman"/>
          <w:sz w:val="21"/>
          <w:szCs w:val="21"/>
        </w:rPr>
      </w:pPr>
      <w:r>
        <w:rPr>
          <w:rFonts w:ascii="Times New Roman" w:hAnsi="Times New Roman" w:cs="Times New Roman"/>
          <w:sz w:val="21"/>
          <w:szCs w:val="21"/>
        </w:rPr>
        <w:t>(полное наименование юридического лица, ОГРН, ИНН)</w:t>
      </w:r>
    </w:p>
    <w:p w:rsidR="001E35DB" w:rsidRDefault="001E35DB" w:rsidP="001E35DB">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_________________________________________________________________________________________</w:t>
      </w:r>
    </w:p>
    <w:p w:rsidR="001E35DB" w:rsidRDefault="001E35DB" w:rsidP="001E35DB">
      <w:pPr>
        <w:pStyle w:val="ConsPlusNonformat"/>
        <w:widowControl/>
        <w:shd w:val="clear" w:color="auto" w:fill="FFFFFF"/>
        <w:jc w:val="center"/>
        <w:rPr>
          <w:rFonts w:ascii="Times New Roman" w:hAnsi="Times New Roman" w:cs="Times New Roman"/>
          <w:sz w:val="21"/>
          <w:szCs w:val="21"/>
        </w:rPr>
      </w:pPr>
      <w:r>
        <w:rPr>
          <w:rFonts w:ascii="Times New Roman" w:hAnsi="Times New Roman" w:cs="Times New Roman"/>
          <w:sz w:val="21"/>
          <w:szCs w:val="21"/>
        </w:rPr>
        <w:t>(Ф.И.О. - для физического лица)</w:t>
      </w:r>
    </w:p>
    <w:p w:rsidR="001E35DB" w:rsidRDefault="001E35DB" w:rsidP="001E35DB">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Банковские реквизиты: ________________________________________________________________________________</w:t>
      </w:r>
    </w:p>
    <w:p w:rsidR="001E35DB" w:rsidRDefault="001E35DB" w:rsidP="001E35DB">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 xml:space="preserve"> Юридический адрес: __________________________________________________________________________________</w:t>
      </w:r>
    </w:p>
    <w:p w:rsidR="001E35DB" w:rsidRDefault="001E35DB" w:rsidP="001E35DB">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Адрес фактического местонахождения: ___________________________________________________________________,</w:t>
      </w:r>
    </w:p>
    <w:p w:rsidR="001E35DB" w:rsidRDefault="001E35DB" w:rsidP="001E35DB">
      <w:pPr>
        <w:pStyle w:val="ConsPlusNonformat"/>
        <w:widowControl/>
        <w:shd w:val="clear" w:color="auto" w:fill="FFFFFF"/>
        <w:rPr>
          <w:rFonts w:ascii="Times New Roman" w:hAnsi="Times New Roman" w:cs="Times New Roman"/>
          <w:sz w:val="21"/>
          <w:szCs w:val="21"/>
        </w:rPr>
      </w:pPr>
      <w:proofErr w:type="gramStart"/>
      <w:r>
        <w:rPr>
          <w:rFonts w:ascii="Times New Roman" w:hAnsi="Times New Roman" w:cs="Times New Roman"/>
          <w:sz w:val="21"/>
          <w:szCs w:val="21"/>
        </w:rPr>
        <w:t>действующий</w:t>
      </w:r>
      <w:proofErr w:type="gramEnd"/>
      <w:r>
        <w:rPr>
          <w:rFonts w:ascii="Times New Roman" w:hAnsi="Times New Roman" w:cs="Times New Roman"/>
          <w:sz w:val="21"/>
          <w:szCs w:val="21"/>
        </w:rPr>
        <w:t xml:space="preserve"> на основании:_____________________________________________________________________________</w:t>
      </w:r>
    </w:p>
    <w:p w:rsidR="001E35DB" w:rsidRDefault="001E35DB" w:rsidP="001E35DB">
      <w:pPr>
        <w:pStyle w:val="ConsPlusNonformat"/>
        <w:widowControl/>
        <w:shd w:val="clear" w:color="auto" w:fill="FFFFFF"/>
        <w:jc w:val="center"/>
        <w:rPr>
          <w:rFonts w:ascii="Times New Roman" w:hAnsi="Times New Roman" w:cs="Times New Roman"/>
          <w:sz w:val="21"/>
          <w:szCs w:val="21"/>
        </w:rPr>
      </w:pPr>
      <w:proofErr w:type="gramStart"/>
      <w:r>
        <w:rPr>
          <w:rFonts w:ascii="Times New Roman" w:hAnsi="Times New Roman" w:cs="Times New Roman"/>
          <w:sz w:val="21"/>
          <w:szCs w:val="21"/>
        </w:rPr>
        <w:t>(серия, номер и дата выдачи паспорта -</w:t>
      </w:r>
      <w:proofErr w:type="gramEnd"/>
    </w:p>
    <w:p w:rsidR="001E35DB" w:rsidRDefault="001E35DB" w:rsidP="001E35DB">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_________________________________________________________________________________________</w:t>
      </w:r>
    </w:p>
    <w:p w:rsidR="001E35DB" w:rsidRDefault="001E35DB" w:rsidP="001E35DB">
      <w:pPr>
        <w:pStyle w:val="ConsPlusNonformat"/>
        <w:widowControl/>
        <w:shd w:val="clear" w:color="auto" w:fill="FFFFFF"/>
        <w:jc w:val="center"/>
        <w:rPr>
          <w:rFonts w:ascii="Times New Roman" w:hAnsi="Times New Roman" w:cs="Times New Roman"/>
          <w:sz w:val="21"/>
          <w:szCs w:val="21"/>
        </w:rPr>
      </w:pPr>
      <w:r>
        <w:rPr>
          <w:rFonts w:ascii="Times New Roman" w:hAnsi="Times New Roman" w:cs="Times New Roman"/>
          <w:sz w:val="21"/>
          <w:szCs w:val="21"/>
        </w:rPr>
        <w:t xml:space="preserve">для физических лиц)  (Устав, свидетельство о </w:t>
      </w:r>
      <w:proofErr w:type="spellStart"/>
      <w:r>
        <w:rPr>
          <w:rFonts w:ascii="Times New Roman" w:hAnsi="Times New Roman" w:cs="Times New Roman"/>
          <w:sz w:val="21"/>
          <w:szCs w:val="21"/>
        </w:rPr>
        <w:t>гос</w:t>
      </w:r>
      <w:proofErr w:type="spellEnd"/>
      <w:r>
        <w:rPr>
          <w:rFonts w:ascii="Times New Roman" w:hAnsi="Times New Roman" w:cs="Times New Roman"/>
          <w:sz w:val="21"/>
          <w:szCs w:val="21"/>
        </w:rPr>
        <w:t>. регистрации юр. лица)</w:t>
      </w:r>
    </w:p>
    <w:p w:rsidR="001E35DB" w:rsidRDefault="001E35DB" w:rsidP="001E35DB">
      <w:pPr>
        <w:pStyle w:val="ConsPlusNonformat"/>
        <w:widowControl/>
        <w:shd w:val="clear" w:color="auto" w:fill="FFFFFF"/>
        <w:jc w:val="center"/>
        <w:rPr>
          <w:rFonts w:ascii="Times New Roman" w:hAnsi="Times New Roman" w:cs="Times New Roman"/>
          <w:sz w:val="21"/>
          <w:szCs w:val="21"/>
        </w:rPr>
      </w:pPr>
    </w:p>
    <w:p w:rsidR="001E35DB" w:rsidRDefault="001E35DB" w:rsidP="001E35DB">
      <w:pPr>
        <w:pStyle w:val="ac"/>
        <w:shd w:val="clear" w:color="auto" w:fill="FFFFFF"/>
      </w:pPr>
      <w:r>
        <w:rPr>
          <w:rFonts w:ascii="Times New Roman" w:hAnsi="Times New Roman" w:cs="Times New Roman"/>
          <w:sz w:val="21"/>
          <w:szCs w:val="21"/>
        </w:rPr>
        <w:t xml:space="preserve">2. Изучив данные  информационного  сообщения о предмете торгов, ознакомившись  с  Порядком  проведения  торгов, мы, ниже подписавшиеся, уполномоченные на подписание заявки  согласны на данных условиях принять участие в торгах и  заключить  договор аренды  земельного участка, расположенного по адресу: </w:t>
      </w:r>
      <w:proofErr w:type="gramStart"/>
      <w:r>
        <w:rPr>
          <w:rFonts w:ascii="Times New Roman" w:hAnsi="Times New Roman" w:cs="Times New Roman"/>
          <w:sz w:val="21"/>
          <w:szCs w:val="21"/>
        </w:rPr>
        <w:t>Волгоградская</w:t>
      </w:r>
      <w:proofErr w:type="gramEnd"/>
      <w:r>
        <w:rPr>
          <w:rFonts w:ascii="Times New Roman" w:hAnsi="Times New Roman" w:cs="Times New Roman"/>
          <w:sz w:val="21"/>
          <w:szCs w:val="21"/>
        </w:rPr>
        <w:t xml:space="preserve"> обл., Новониколаевский район,</w:t>
      </w:r>
    </w:p>
    <w:p w:rsidR="001E35DB" w:rsidRDefault="001E35DB" w:rsidP="001E35DB">
      <w:pPr>
        <w:rPr>
          <w:sz w:val="21"/>
          <w:szCs w:val="21"/>
        </w:rPr>
      </w:pPr>
      <w:r>
        <w:rPr>
          <w:sz w:val="21"/>
          <w:szCs w:val="21"/>
        </w:rPr>
        <w:t>_________________________________________________________________________________________</w:t>
      </w:r>
    </w:p>
    <w:p w:rsidR="001E35DB" w:rsidRDefault="001E35DB" w:rsidP="001E35DB">
      <w:pPr>
        <w:jc w:val="center"/>
        <w:rPr>
          <w:sz w:val="21"/>
          <w:szCs w:val="21"/>
        </w:rPr>
      </w:pPr>
      <w:r>
        <w:rPr>
          <w:sz w:val="21"/>
          <w:szCs w:val="21"/>
        </w:rPr>
        <w:t>(адрес и полное наименование предмета торгов)</w:t>
      </w:r>
    </w:p>
    <w:p w:rsidR="001E35DB" w:rsidRDefault="001E35DB" w:rsidP="001E35DB">
      <w:pPr>
        <w:jc w:val="both"/>
        <w:rPr>
          <w:sz w:val="21"/>
          <w:szCs w:val="21"/>
        </w:rPr>
      </w:pPr>
      <w:r>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1"/>
          <w:szCs w:val="21"/>
        </w:rPr>
        <w:br/>
        <w:t>Регистрационный номер _________________.</w:t>
      </w:r>
    </w:p>
    <w:p w:rsidR="001E35DB" w:rsidRDefault="001E35DB" w:rsidP="001E35DB">
      <w:pPr>
        <w:jc w:val="both"/>
        <w:rPr>
          <w:sz w:val="21"/>
          <w:szCs w:val="21"/>
        </w:rPr>
      </w:pPr>
      <w:r>
        <w:rPr>
          <w:sz w:val="21"/>
          <w:szCs w:val="21"/>
        </w:rPr>
        <w:t>Номер лота _____________________________.</w:t>
      </w:r>
    </w:p>
    <w:p w:rsidR="001E35DB" w:rsidRDefault="001E35DB" w:rsidP="001E35DB">
      <w:pPr>
        <w:pStyle w:val="ac"/>
        <w:shd w:val="clear" w:color="auto" w:fill="FFFFFF"/>
        <w:rPr>
          <w:rFonts w:ascii="Times New Roman" w:hAnsi="Times New Roman" w:cs="Times New Roman"/>
          <w:sz w:val="21"/>
          <w:szCs w:val="21"/>
        </w:rPr>
      </w:pPr>
      <w:r>
        <w:rPr>
          <w:rFonts w:ascii="Times New Roman" w:hAnsi="Times New Roman" w:cs="Times New Roman"/>
          <w:sz w:val="21"/>
          <w:szCs w:val="21"/>
        </w:rPr>
        <w:t xml:space="preserve">      3. В случае победы в торгах, принимаем на себя обязательства:</w:t>
      </w:r>
    </w:p>
    <w:p w:rsidR="001E35DB" w:rsidRDefault="001E35DB" w:rsidP="001E35DB">
      <w:pPr>
        <w:pStyle w:val="ac"/>
        <w:shd w:val="clear" w:color="auto" w:fill="FFFFFF"/>
        <w:rPr>
          <w:rFonts w:ascii="Times New Roman" w:hAnsi="Times New Roman" w:cs="Times New Roman"/>
          <w:sz w:val="21"/>
          <w:szCs w:val="21"/>
        </w:rPr>
      </w:pPr>
      <w:r>
        <w:rPr>
          <w:rFonts w:ascii="Times New Roman" w:hAnsi="Times New Roman" w:cs="Times New Roman"/>
          <w:sz w:val="21"/>
          <w:szCs w:val="21"/>
        </w:rPr>
        <w:t xml:space="preserve">      3.1. Подписать протокол о результатах торгов в день их проведения;</w:t>
      </w:r>
    </w:p>
    <w:p w:rsidR="001E35DB" w:rsidRDefault="001E35DB" w:rsidP="001E35DB">
      <w:pPr>
        <w:shd w:val="clear" w:color="auto" w:fill="FFFFFF"/>
        <w:jc w:val="both"/>
      </w:pPr>
      <w:r>
        <w:rPr>
          <w:sz w:val="21"/>
          <w:szCs w:val="21"/>
        </w:rPr>
        <w:t xml:space="preserve">    3.2.Подписать со своей стороны не ранее чем через 10 дней с момента оформления протокола о результатах торгов, договор аренды земельного участка.</w:t>
      </w:r>
    </w:p>
    <w:p w:rsidR="001E35DB" w:rsidRDefault="001E35DB" w:rsidP="001E35DB">
      <w:pPr>
        <w:pStyle w:val="ac"/>
        <w:shd w:val="clear" w:color="auto" w:fill="FFFFFF"/>
        <w:rPr>
          <w:rFonts w:ascii="Times New Roman" w:hAnsi="Times New Roman" w:cs="Times New Roman"/>
          <w:sz w:val="21"/>
          <w:szCs w:val="21"/>
        </w:rPr>
      </w:pPr>
      <w:r>
        <w:rPr>
          <w:rFonts w:ascii="Times New Roman" w:hAnsi="Times New Roman" w:cs="Times New Roman"/>
          <w:sz w:val="21"/>
          <w:szCs w:val="21"/>
        </w:rPr>
        <w:t xml:space="preserve">  4. Мы согласны с тем,  что сумма внесенного нами задатка не возвращается и остается в распоряжении администрации Новониколаевского городского поселения, в случае:</w:t>
      </w:r>
    </w:p>
    <w:p w:rsidR="001E35DB" w:rsidRDefault="001E35DB" w:rsidP="001E35DB">
      <w:pPr>
        <w:pStyle w:val="ac"/>
        <w:shd w:val="clear" w:color="auto" w:fill="FFFFFF"/>
        <w:rPr>
          <w:rFonts w:ascii="Times New Roman" w:hAnsi="Times New Roman" w:cs="Times New Roman"/>
          <w:sz w:val="21"/>
          <w:szCs w:val="21"/>
        </w:rPr>
      </w:pPr>
      <w:r>
        <w:rPr>
          <w:rFonts w:ascii="Times New Roman" w:hAnsi="Times New Roman" w:cs="Times New Roman"/>
          <w:sz w:val="21"/>
          <w:szCs w:val="21"/>
        </w:rPr>
        <w:t>- признания нас победителем;</w:t>
      </w:r>
    </w:p>
    <w:p w:rsidR="001E35DB" w:rsidRDefault="001E35DB" w:rsidP="001E35DB">
      <w:pPr>
        <w:pStyle w:val="ac"/>
        <w:shd w:val="clear" w:color="auto" w:fill="FFFFFF"/>
        <w:rPr>
          <w:rFonts w:ascii="Times New Roman" w:hAnsi="Times New Roman" w:cs="Times New Roman"/>
          <w:sz w:val="21"/>
          <w:szCs w:val="21"/>
        </w:rPr>
      </w:pPr>
      <w:r>
        <w:rPr>
          <w:rFonts w:ascii="Times New Roman" w:hAnsi="Times New Roman" w:cs="Times New Roman"/>
          <w:sz w:val="21"/>
          <w:szCs w:val="21"/>
        </w:rPr>
        <w:t xml:space="preserve">- </w:t>
      </w:r>
      <w:proofErr w:type="spellStart"/>
      <w:r>
        <w:rPr>
          <w:rFonts w:ascii="Times New Roman" w:hAnsi="Times New Roman" w:cs="Times New Roman"/>
          <w:sz w:val="21"/>
          <w:szCs w:val="21"/>
        </w:rPr>
        <w:t>неподписания</w:t>
      </w:r>
      <w:proofErr w:type="spellEnd"/>
      <w:r>
        <w:rPr>
          <w:rFonts w:ascii="Times New Roman" w:hAnsi="Times New Roman" w:cs="Times New Roman"/>
          <w:sz w:val="21"/>
          <w:szCs w:val="21"/>
        </w:rPr>
        <w:t xml:space="preserve">  нами в сроки,  установленные информационным сообщением, опубликованным в средствах массовой информации,  протокола о  результатах торгов, договора аренды;</w:t>
      </w:r>
    </w:p>
    <w:p w:rsidR="001E35DB" w:rsidRDefault="001E35DB" w:rsidP="001E35DB">
      <w:pPr>
        <w:pStyle w:val="ac"/>
        <w:shd w:val="clear" w:color="auto" w:fill="FFFFFF"/>
        <w:rPr>
          <w:rFonts w:ascii="Times New Roman" w:hAnsi="Times New Roman" w:cs="Times New Roman"/>
          <w:sz w:val="21"/>
          <w:szCs w:val="21"/>
        </w:rPr>
      </w:pPr>
      <w:r>
        <w:rPr>
          <w:rFonts w:ascii="Times New Roman" w:hAnsi="Times New Roman" w:cs="Times New Roman"/>
          <w:sz w:val="21"/>
          <w:szCs w:val="21"/>
        </w:rPr>
        <w:t xml:space="preserve">   5. До  подписания  договора  аренды  земельного  участка настоящая заявка вместе с подписанным протоколом торгов имеет силу договора между нами.</w:t>
      </w:r>
    </w:p>
    <w:p w:rsidR="001E35DB" w:rsidRDefault="001E35DB" w:rsidP="001E35DB">
      <w:pPr>
        <w:pStyle w:val="ac"/>
        <w:shd w:val="clear" w:color="auto" w:fill="FFFFFF"/>
        <w:jc w:val="left"/>
      </w:pPr>
      <w:r>
        <w:rPr>
          <w:rFonts w:ascii="Times New Roman" w:hAnsi="Times New Roman" w:cs="Times New Roman"/>
          <w:sz w:val="21"/>
          <w:szCs w:val="21"/>
        </w:rPr>
        <w:t xml:space="preserve">  6. Банковские  реквизиты,  для перечисления суммы возвращаемого задатка в случае, если мы не </w:t>
      </w:r>
      <w:proofErr w:type="spellStart"/>
      <w:proofErr w:type="gramStart"/>
      <w:r>
        <w:rPr>
          <w:rFonts w:ascii="Times New Roman" w:hAnsi="Times New Roman" w:cs="Times New Roman"/>
          <w:sz w:val="21"/>
          <w:szCs w:val="21"/>
        </w:rPr>
        <w:t>ста-нем</w:t>
      </w:r>
      <w:proofErr w:type="spellEnd"/>
      <w:proofErr w:type="gramEnd"/>
      <w:r>
        <w:rPr>
          <w:rFonts w:ascii="Times New Roman" w:hAnsi="Times New Roman" w:cs="Times New Roman"/>
          <w:sz w:val="21"/>
          <w:szCs w:val="21"/>
        </w:rPr>
        <w:t xml:space="preserve"> победителем торгов: __________________________________________________________________________________ </w:t>
      </w:r>
      <w:r>
        <w:rPr>
          <w:rFonts w:ascii="Times New Roman" w:hAnsi="Times New Roman" w:cs="Times New Roman"/>
          <w:sz w:val="21"/>
          <w:szCs w:val="21"/>
        </w:rPr>
        <w:br/>
        <w:t>_________________________________________________________________________________________</w:t>
      </w:r>
    </w:p>
    <w:p w:rsidR="001E35DB" w:rsidRDefault="001E35DB" w:rsidP="001E35DB">
      <w:pPr>
        <w:pStyle w:val="ac"/>
        <w:shd w:val="clear" w:color="auto" w:fill="FFFFFF"/>
        <w:rPr>
          <w:rFonts w:ascii="Times New Roman" w:hAnsi="Times New Roman" w:cs="Times New Roman"/>
          <w:sz w:val="21"/>
          <w:szCs w:val="21"/>
        </w:rPr>
      </w:pPr>
    </w:p>
    <w:p w:rsidR="001E35DB" w:rsidRDefault="001E35DB" w:rsidP="001E35DB">
      <w:pPr>
        <w:pStyle w:val="ac"/>
        <w:shd w:val="clear" w:color="auto" w:fill="FFFFFF"/>
        <w:rPr>
          <w:rFonts w:ascii="Times New Roman" w:hAnsi="Times New Roman" w:cs="Times New Roman"/>
          <w:sz w:val="21"/>
          <w:szCs w:val="21"/>
        </w:rPr>
      </w:pPr>
      <w:r>
        <w:rPr>
          <w:rFonts w:ascii="Times New Roman" w:hAnsi="Times New Roman" w:cs="Times New Roman"/>
          <w:sz w:val="21"/>
          <w:szCs w:val="21"/>
        </w:rPr>
        <w:t>Задаток в сумме __________________________________________________________________________ рублей внесен</w:t>
      </w:r>
    </w:p>
    <w:p w:rsidR="001E35DB" w:rsidRDefault="001E35DB" w:rsidP="001E35DB">
      <w:pPr>
        <w:pStyle w:val="ac"/>
        <w:shd w:val="clear" w:color="auto" w:fill="FFFFFF"/>
        <w:rPr>
          <w:rFonts w:ascii="Times New Roman" w:hAnsi="Times New Roman" w:cs="Times New Roman"/>
          <w:sz w:val="21"/>
          <w:szCs w:val="21"/>
        </w:rPr>
      </w:pPr>
      <w:r>
        <w:rPr>
          <w:rFonts w:ascii="Times New Roman" w:hAnsi="Times New Roman" w:cs="Times New Roman"/>
          <w:sz w:val="21"/>
          <w:szCs w:val="21"/>
        </w:rPr>
        <w:t>"___" __________ 20___ г. _______________________________________________</w:t>
      </w:r>
    </w:p>
    <w:p w:rsidR="001E35DB" w:rsidRDefault="001E35DB" w:rsidP="001E35DB">
      <w:pPr>
        <w:pStyle w:val="ac"/>
        <w:shd w:val="clear" w:color="auto" w:fill="FFFFFF"/>
        <w:rPr>
          <w:rFonts w:ascii="Times New Roman" w:hAnsi="Times New Roman" w:cs="Times New Roman"/>
          <w:sz w:val="21"/>
          <w:szCs w:val="21"/>
        </w:rPr>
      </w:pPr>
      <w:r>
        <w:rPr>
          <w:rFonts w:ascii="Times New Roman" w:hAnsi="Times New Roman" w:cs="Times New Roman"/>
          <w:sz w:val="21"/>
          <w:szCs w:val="21"/>
        </w:rPr>
        <w:t xml:space="preserve">                                                  наименование и номер документа</w:t>
      </w:r>
    </w:p>
    <w:p w:rsidR="001E35DB" w:rsidRDefault="001E35DB" w:rsidP="001E35DB">
      <w:pPr>
        <w:pStyle w:val="ac"/>
        <w:shd w:val="clear" w:color="auto" w:fill="FFFFFF"/>
        <w:rPr>
          <w:rFonts w:ascii="Times New Roman" w:hAnsi="Times New Roman" w:cs="Times New Roman"/>
          <w:sz w:val="21"/>
          <w:szCs w:val="21"/>
        </w:rPr>
      </w:pPr>
      <w:r>
        <w:rPr>
          <w:rFonts w:ascii="Times New Roman" w:hAnsi="Times New Roman" w:cs="Times New Roman"/>
          <w:sz w:val="21"/>
          <w:szCs w:val="21"/>
        </w:rPr>
        <w:t>Дата ____________________      Подпись заявителя ________________________</w:t>
      </w:r>
    </w:p>
    <w:p w:rsidR="001E35DB" w:rsidRDefault="001E35DB" w:rsidP="001E35DB">
      <w:pPr>
        <w:shd w:val="clear" w:color="auto" w:fill="FFFFFF"/>
        <w:rPr>
          <w:sz w:val="21"/>
          <w:szCs w:val="21"/>
        </w:rPr>
      </w:pPr>
    </w:p>
    <w:p w:rsidR="001E35DB" w:rsidRDefault="001E35DB" w:rsidP="001E35DB">
      <w:pPr>
        <w:pStyle w:val="ac"/>
        <w:shd w:val="clear" w:color="auto" w:fill="FFFFFF"/>
        <w:rPr>
          <w:rFonts w:ascii="Times New Roman" w:hAnsi="Times New Roman" w:cs="Times New Roman"/>
          <w:sz w:val="21"/>
          <w:szCs w:val="21"/>
        </w:rPr>
      </w:pPr>
      <w:r>
        <w:rPr>
          <w:rFonts w:ascii="Times New Roman" w:hAnsi="Times New Roman" w:cs="Times New Roman"/>
          <w:sz w:val="21"/>
          <w:szCs w:val="21"/>
        </w:rPr>
        <w:t>Дата и время приема заявки _____________________  Подпись ______</w:t>
      </w:r>
    </w:p>
    <w:p w:rsidR="001E35DB" w:rsidRDefault="001E35DB" w:rsidP="001E35DB">
      <w:pPr>
        <w:rPr>
          <w:sz w:val="21"/>
          <w:szCs w:val="21"/>
        </w:rPr>
      </w:pPr>
      <w:r>
        <w:rPr>
          <w:sz w:val="21"/>
          <w:szCs w:val="21"/>
        </w:rPr>
        <w:t>____________________________________________________________________________________</w:t>
      </w:r>
    </w:p>
    <w:p w:rsidR="001E35DB" w:rsidRDefault="001E35DB" w:rsidP="001E35DB">
      <w:pPr>
        <w:pStyle w:val="ac"/>
        <w:shd w:val="clear" w:color="auto" w:fill="FFFFFF"/>
      </w:pPr>
    </w:p>
    <w:p w:rsidR="001E35DB" w:rsidRDefault="001E35DB" w:rsidP="001E35DB"/>
    <w:p w:rsidR="00346CFF" w:rsidRDefault="00346CFF">
      <w:pPr>
        <w:pStyle w:val="ac"/>
        <w:shd w:val="clear" w:color="auto" w:fill="FFFFFF"/>
        <w:rPr>
          <w:rFonts w:ascii="Times New Roman" w:hAnsi="Times New Roman" w:cs="Times New Roman"/>
          <w:sz w:val="21"/>
          <w:szCs w:val="21"/>
        </w:rPr>
      </w:pPr>
    </w:p>
    <w:p w:rsidR="00346CFF" w:rsidRDefault="00F601A4">
      <w:pPr>
        <w:pStyle w:val="ac"/>
        <w:shd w:val="clear" w:color="auto" w:fill="FFFFFF"/>
      </w:pPr>
      <w:r>
        <w:rPr>
          <w:rFonts w:ascii="Times New Roman" w:hAnsi="Times New Roman" w:cs="Times New Roman"/>
          <w:sz w:val="21"/>
          <w:szCs w:val="21"/>
        </w:rPr>
        <w:t xml:space="preserve">                                             </w:t>
      </w:r>
    </w:p>
    <w:p w:rsidR="00346CFF" w:rsidRDefault="00346CFF">
      <w:pPr>
        <w:pStyle w:val="ac"/>
        <w:shd w:val="clear" w:color="auto" w:fill="FFFFFF"/>
        <w:rPr>
          <w:rFonts w:ascii="Times New Roman" w:hAnsi="Times New Roman" w:cs="Times New Roman"/>
          <w:sz w:val="21"/>
          <w:szCs w:val="21"/>
        </w:rPr>
      </w:pPr>
    </w:p>
    <w:p w:rsidR="00346CFF" w:rsidRDefault="00346CFF">
      <w:pPr>
        <w:pStyle w:val="ac"/>
        <w:shd w:val="clear" w:color="auto" w:fill="FFFFFF"/>
        <w:rPr>
          <w:rFonts w:ascii="Times New Roman" w:hAnsi="Times New Roman" w:cs="Times New Roman"/>
          <w:sz w:val="21"/>
          <w:szCs w:val="21"/>
        </w:rPr>
      </w:pPr>
    </w:p>
    <w:p w:rsidR="00346CFF" w:rsidRDefault="00F601A4">
      <w:pPr>
        <w:pStyle w:val="ac"/>
        <w:shd w:val="clear" w:color="auto" w:fill="FFFFFF"/>
      </w:pPr>
      <w:r>
        <w:rPr>
          <w:rFonts w:ascii="Times New Roman" w:hAnsi="Times New Roman" w:cs="Times New Roman"/>
          <w:sz w:val="21"/>
          <w:szCs w:val="21"/>
        </w:rPr>
        <w:t xml:space="preserve">                                         </w:t>
      </w:r>
    </w:p>
    <w:sectPr w:rsidR="00346CFF" w:rsidSect="00346CFF">
      <w:pgSz w:w="11906" w:h="16838"/>
      <w:pgMar w:top="1134" w:right="850" w:bottom="1134" w:left="1701" w:header="0" w:footer="0" w:gutter="0"/>
      <w:cols w:space="708"/>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46B9"/>
    <w:multiLevelType w:val="multilevel"/>
    <w:tmpl w:val="E6A041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9DE5227"/>
    <w:multiLevelType w:val="multilevel"/>
    <w:tmpl w:val="B60ECC66"/>
    <w:lvl w:ilvl="0">
      <w:start w:val="1"/>
      <w:numFmt w:val="none"/>
      <w:suff w:val="nothing"/>
      <w:lvlText w:val=""/>
      <w:lvlJc w:val="left"/>
      <w:pPr>
        <w:ind w:left="432" w:hanging="432"/>
      </w:pPr>
      <w:rPr>
        <w:rFonts w:cs="Times New Roman"/>
        <w:b w:val="0"/>
        <w:sz w:val="20"/>
        <w:szCs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711F0D53"/>
    <w:multiLevelType w:val="multilevel"/>
    <w:tmpl w:val="AB161028"/>
    <w:lvl w:ilvl="0">
      <w:start w:val="1"/>
      <w:numFmt w:val="none"/>
      <w:suff w:val="nothing"/>
      <w:lvlText w:val=""/>
      <w:lvlJc w:val="left"/>
      <w:pPr>
        <w:ind w:left="432" w:hanging="432"/>
      </w:pPr>
      <w:rPr>
        <w:rFonts w:cs="Times New Roman"/>
        <w:b w:val="0"/>
        <w:sz w:val="20"/>
        <w:szCs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6CFF"/>
    <w:rsid w:val="00082255"/>
    <w:rsid w:val="000B32EB"/>
    <w:rsid w:val="00117F5F"/>
    <w:rsid w:val="001E35DB"/>
    <w:rsid w:val="002C1533"/>
    <w:rsid w:val="002F0227"/>
    <w:rsid w:val="003437D9"/>
    <w:rsid w:val="00346CFF"/>
    <w:rsid w:val="003529E2"/>
    <w:rsid w:val="00474C3C"/>
    <w:rsid w:val="005B5F76"/>
    <w:rsid w:val="0067257E"/>
    <w:rsid w:val="0069179D"/>
    <w:rsid w:val="00695B92"/>
    <w:rsid w:val="007661E6"/>
    <w:rsid w:val="00830730"/>
    <w:rsid w:val="008F5B60"/>
    <w:rsid w:val="009C4561"/>
    <w:rsid w:val="00AB619E"/>
    <w:rsid w:val="00AE165E"/>
    <w:rsid w:val="00B13820"/>
    <w:rsid w:val="00B16993"/>
    <w:rsid w:val="00C5008F"/>
    <w:rsid w:val="00C752B4"/>
    <w:rsid w:val="00E00473"/>
    <w:rsid w:val="00E25159"/>
    <w:rsid w:val="00E73313"/>
    <w:rsid w:val="00EB3E61"/>
    <w:rsid w:val="00EC32C0"/>
    <w:rsid w:val="00ED1A5C"/>
    <w:rsid w:val="00F601A4"/>
    <w:rsid w:val="00FE2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5AF"/>
    <w:pPr>
      <w:suppressAutoHyphens/>
      <w:spacing w:line="100" w:lineRule="atLeast"/>
    </w:pPr>
    <w:rPr>
      <w:rFonts w:ascii="Times New Roman" w:eastAsia="Times New Roman" w:hAnsi="Times New Roman" w:cs="Times New Roman"/>
      <w:color w:val="00000A"/>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semiHidden/>
    <w:unhideWhenUsed/>
    <w:rsid w:val="00A215AF"/>
    <w:rPr>
      <w:color w:val="000080"/>
      <w:u w:val="single"/>
    </w:rPr>
  </w:style>
  <w:style w:type="character" w:customStyle="1" w:styleId="a3">
    <w:name w:val="Название Знак"/>
    <w:basedOn w:val="a0"/>
    <w:qFormat/>
    <w:rsid w:val="00A215AF"/>
    <w:rPr>
      <w:rFonts w:ascii="Times New Roman" w:eastAsia="Times New Roman" w:hAnsi="Times New Roman" w:cs="Times New Roman"/>
      <w:b/>
      <w:sz w:val="24"/>
      <w:szCs w:val="20"/>
      <w:lang w:eastAsia="ar-SA"/>
    </w:rPr>
  </w:style>
  <w:style w:type="character" w:customStyle="1" w:styleId="a4">
    <w:name w:val="Основной текст Знак"/>
    <w:basedOn w:val="a0"/>
    <w:semiHidden/>
    <w:qFormat/>
    <w:rsid w:val="00A215AF"/>
    <w:rPr>
      <w:rFonts w:ascii="Times New Roman" w:eastAsia="Times New Roman" w:hAnsi="Times New Roman" w:cs="Times New Roman"/>
      <w:sz w:val="24"/>
      <w:szCs w:val="24"/>
      <w:lang w:eastAsia="ar-SA"/>
    </w:rPr>
  </w:style>
  <w:style w:type="character" w:customStyle="1" w:styleId="a5">
    <w:name w:val="Цветовое выделение"/>
    <w:qFormat/>
    <w:rsid w:val="00A215AF"/>
    <w:rPr>
      <w:b/>
      <w:bCs/>
      <w:color w:val="000080"/>
      <w:sz w:val="20"/>
      <w:szCs w:val="20"/>
    </w:rPr>
  </w:style>
  <w:style w:type="character" w:customStyle="1" w:styleId="ListLabel1">
    <w:name w:val="ListLabel 1"/>
    <w:qFormat/>
    <w:rsid w:val="00346CFF"/>
    <w:rPr>
      <w:rFonts w:cs="Times New Roman"/>
      <w:sz w:val="20"/>
      <w:szCs w:val="20"/>
    </w:rPr>
  </w:style>
  <w:style w:type="character" w:customStyle="1" w:styleId="ListLabel2">
    <w:name w:val="ListLabel 2"/>
    <w:qFormat/>
    <w:rsid w:val="00346CFF"/>
    <w:rPr>
      <w:rFonts w:cs="Times New Roman"/>
      <w:sz w:val="20"/>
      <w:szCs w:val="20"/>
    </w:rPr>
  </w:style>
  <w:style w:type="character" w:customStyle="1" w:styleId="ListLabel3">
    <w:name w:val="ListLabel 3"/>
    <w:qFormat/>
    <w:rsid w:val="00346CFF"/>
    <w:rPr>
      <w:rFonts w:cs="Times New Roman"/>
      <w:sz w:val="20"/>
      <w:szCs w:val="20"/>
    </w:rPr>
  </w:style>
  <w:style w:type="character" w:customStyle="1" w:styleId="ListLabel4">
    <w:name w:val="ListLabel 4"/>
    <w:qFormat/>
    <w:rsid w:val="00346CFF"/>
    <w:rPr>
      <w:rFonts w:cs="Times New Roman"/>
      <w:b w:val="0"/>
      <w:sz w:val="20"/>
      <w:szCs w:val="20"/>
    </w:rPr>
  </w:style>
  <w:style w:type="character" w:customStyle="1" w:styleId="ListLabel5">
    <w:name w:val="ListLabel 5"/>
    <w:qFormat/>
    <w:rsid w:val="00346CFF"/>
    <w:rPr>
      <w:rFonts w:cs="Times New Roman"/>
      <w:b w:val="0"/>
      <w:sz w:val="20"/>
      <w:szCs w:val="20"/>
    </w:rPr>
  </w:style>
  <w:style w:type="character" w:customStyle="1" w:styleId="ListLabel6">
    <w:name w:val="ListLabel 6"/>
    <w:qFormat/>
    <w:rsid w:val="00346CFF"/>
    <w:rPr>
      <w:rFonts w:cs="Times New Roman"/>
      <w:b w:val="0"/>
      <w:sz w:val="20"/>
      <w:szCs w:val="20"/>
    </w:rPr>
  </w:style>
  <w:style w:type="character" w:customStyle="1" w:styleId="ListLabel7">
    <w:name w:val="ListLabel 7"/>
    <w:qFormat/>
    <w:rsid w:val="00346CFF"/>
    <w:rPr>
      <w:rFonts w:cs="Times New Roman"/>
      <w:b w:val="0"/>
      <w:sz w:val="20"/>
      <w:szCs w:val="20"/>
    </w:rPr>
  </w:style>
  <w:style w:type="character" w:customStyle="1" w:styleId="ListLabel8">
    <w:name w:val="ListLabel 8"/>
    <w:qFormat/>
    <w:rsid w:val="00346CFF"/>
    <w:rPr>
      <w:rFonts w:cs="Times New Roman"/>
      <w:b w:val="0"/>
      <w:sz w:val="20"/>
      <w:szCs w:val="20"/>
    </w:rPr>
  </w:style>
  <w:style w:type="character" w:customStyle="1" w:styleId="ListLabel9">
    <w:name w:val="ListLabel 9"/>
    <w:qFormat/>
    <w:rsid w:val="00346CFF"/>
    <w:rPr>
      <w:rFonts w:cs="Times New Roman"/>
      <w:b w:val="0"/>
      <w:sz w:val="20"/>
      <w:szCs w:val="20"/>
    </w:rPr>
  </w:style>
  <w:style w:type="character" w:customStyle="1" w:styleId="ListLabel10">
    <w:name w:val="ListLabel 10"/>
    <w:qFormat/>
    <w:rsid w:val="00346CFF"/>
    <w:rPr>
      <w:rFonts w:cs="Times New Roman"/>
      <w:b w:val="0"/>
      <w:sz w:val="20"/>
      <w:szCs w:val="20"/>
    </w:rPr>
  </w:style>
  <w:style w:type="character" w:customStyle="1" w:styleId="ListLabel11">
    <w:name w:val="ListLabel 11"/>
    <w:qFormat/>
    <w:rsid w:val="00346CFF"/>
    <w:rPr>
      <w:rFonts w:cs="Times New Roman"/>
      <w:b w:val="0"/>
      <w:sz w:val="20"/>
      <w:szCs w:val="20"/>
    </w:rPr>
  </w:style>
  <w:style w:type="character" w:customStyle="1" w:styleId="ListLabel12">
    <w:name w:val="ListLabel 12"/>
    <w:qFormat/>
    <w:rsid w:val="00346CFF"/>
    <w:rPr>
      <w:rFonts w:cs="Times New Roman"/>
      <w:b w:val="0"/>
      <w:sz w:val="20"/>
      <w:szCs w:val="20"/>
    </w:rPr>
  </w:style>
  <w:style w:type="character" w:customStyle="1" w:styleId="ListLabel13">
    <w:name w:val="ListLabel 13"/>
    <w:qFormat/>
    <w:rsid w:val="00346CFF"/>
    <w:rPr>
      <w:rFonts w:cs="Times New Roman"/>
      <w:b w:val="0"/>
      <w:sz w:val="20"/>
      <w:szCs w:val="20"/>
    </w:rPr>
  </w:style>
  <w:style w:type="character" w:customStyle="1" w:styleId="ListLabel14">
    <w:name w:val="ListLabel 14"/>
    <w:qFormat/>
    <w:rsid w:val="00346CFF"/>
    <w:rPr>
      <w:rFonts w:cs="Times New Roman"/>
      <w:b w:val="0"/>
      <w:sz w:val="20"/>
      <w:szCs w:val="20"/>
    </w:rPr>
  </w:style>
  <w:style w:type="character" w:customStyle="1" w:styleId="ListLabel15">
    <w:name w:val="ListLabel 15"/>
    <w:qFormat/>
    <w:rsid w:val="00346CFF"/>
    <w:rPr>
      <w:rFonts w:cs="Times New Roman"/>
      <w:b w:val="0"/>
      <w:sz w:val="20"/>
      <w:szCs w:val="20"/>
    </w:rPr>
  </w:style>
  <w:style w:type="character" w:customStyle="1" w:styleId="ListLabel16">
    <w:name w:val="ListLabel 16"/>
    <w:qFormat/>
    <w:rsid w:val="00346CFF"/>
    <w:rPr>
      <w:rFonts w:cs="Times New Roman"/>
      <w:b w:val="0"/>
      <w:sz w:val="20"/>
      <w:szCs w:val="20"/>
    </w:rPr>
  </w:style>
  <w:style w:type="character" w:customStyle="1" w:styleId="ListLabel17">
    <w:name w:val="ListLabel 17"/>
    <w:qFormat/>
    <w:rsid w:val="00346CFF"/>
    <w:rPr>
      <w:rFonts w:cs="Times New Roman"/>
      <w:b w:val="0"/>
      <w:sz w:val="20"/>
      <w:szCs w:val="20"/>
    </w:rPr>
  </w:style>
  <w:style w:type="character" w:customStyle="1" w:styleId="ListLabel18">
    <w:name w:val="ListLabel 18"/>
    <w:qFormat/>
    <w:rsid w:val="00346CFF"/>
    <w:rPr>
      <w:rFonts w:cs="Times New Roman"/>
      <w:b w:val="0"/>
      <w:sz w:val="20"/>
      <w:szCs w:val="20"/>
    </w:rPr>
  </w:style>
  <w:style w:type="character" w:customStyle="1" w:styleId="ListLabel19">
    <w:name w:val="ListLabel 19"/>
    <w:qFormat/>
    <w:rsid w:val="00346CFF"/>
    <w:rPr>
      <w:rFonts w:cs="Times New Roman"/>
      <w:b w:val="0"/>
      <w:sz w:val="20"/>
      <w:szCs w:val="20"/>
    </w:rPr>
  </w:style>
  <w:style w:type="character" w:customStyle="1" w:styleId="ListLabel20">
    <w:name w:val="ListLabel 20"/>
    <w:qFormat/>
    <w:rsid w:val="00346CFF"/>
    <w:rPr>
      <w:rFonts w:cs="Times New Roman"/>
      <w:b w:val="0"/>
      <w:sz w:val="20"/>
      <w:szCs w:val="20"/>
    </w:rPr>
  </w:style>
  <w:style w:type="character" w:customStyle="1" w:styleId="ListLabel21">
    <w:name w:val="ListLabel 21"/>
    <w:qFormat/>
    <w:rsid w:val="00346CFF"/>
    <w:rPr>
      <w:rFonts w:cs="Times New Roman"/>
      <w:b w:val="0"/>
      <w:sz w:val="20"/>
      <w:szCs w:val="20"/>
    </w:rPr>
  </w:style>
  <w:style w:type="character" w:customStyle="1" w:styleId="ListLabel22">
    <w:name w:val="ListLabel 22"/>
    <w:qFormat/>
    <w:rsid w:val="00346CFF"/>
    <w:rPr>
      <w:rFonts w:cs="Times New Roman"/>
      <w:b w:val="0"/>
      <w:sz w:val="20"/>
      <w:szCs w:val="20"/>
    </w:rPr>
  </w:style>
  <w:style w:type="character" w:customStyle="1" w:styleId="ListLabel23">
    <w:name w:val="ListLabel 23"/>
    <w:qFormat/>
    <w:rsid w:val="00346CFF"/>
    <w:rPr>
      <w:rFonts w:cs="Times New Roman"/>
      <w:b w:val="0"/>
      <w:sz w:val="20"/>
      <w:szCs w:val="20"/>
    </w:rPr>
  </w:style>
  <w:style w:type="character" w:customStyle="1" w:styleId="ListLabel24">
    <w:name w:val="ListLabel 24"/>
    <w:qFormat/>
    <w:rsid w:val="00346CFF"/>
    <w:rPr>
      <w:rFonts w:cs="Times New Roman"/>
      <w:b w:val="0"/>
      <w:sz w:val="20"/>
      <w:szCs w:val="20"/>
    </w:rPr>
  </w:style>
  <w:style w:type="character" w:customStyle="1" w:styleId="ListLabel25">
    <w:name w:val="ListLabel 25"/>
    <w:qFormat/>
    <w:rsid w:val="00346CFF"/>
    <w:rPr>
      <w:rFonts w:cs="Times New Roman"/>
      <w:b w:val="0"/>
      <w:sz w:val="20"/>
      <w:szCs w:val="20"/>
    </w:rPr>
  </w:style>
  <w:style w:type="paragraph" w:customStyle="1" w:styleId="a6">
    <w:name w:val="Заголовок"/>
    <w:basedOn w:val="a"/>
    <w:next w:val="a7"/>
    <w:qFormat/>
    <w:rsid w:val="00346CFF"/>
    <w:pPr>
      <w:keepNext/>
      <w:spacing w:before="240" w:after="120"/>
    </w:pPr>
    <w:rPr>
      <w:rFonts w:ascii="Liberation Sans" w:eastAsia="Lucida Sans Unicode" w:hAnsi="Liberation Sans" w:cs="Mangal"/>
      <w:sz w:val="28"/>
      <w:szCs w:val="28"/>
    </w:rPr>
  </w:style>
  <w:style w:type="paragraph" w:styleId="a7">
    <w:name w:val="Body Text"/>
    <w:basedOn w:val="a"/>
    <w:semiHidden/>
    <w:unhideWhenUsed/>
    <w:rsid w:val="00A215AF"/>
    <w:pPr>
      <w:spacing w:after="120"/>
    </w:pPr>
  </w:style>
  <w:style w:type="paragraph" w:styleId="a8">
    <w:name w:val="List"/>
    <w:basedOn w:val="a7"/>
    <w:rsid w:val="00346CFF"/>
    <w:rPr>
      <w:rFonts w:cs="Mangal"/>
    </w:rPr>
  </w:style>
  <w:style w:type="paragraph" w:customStyle="1" w:styleId="Caption">
    <w:name w:val="Caption"/>
    <w:basedOn w:val="a"/>
    <w:qFormat/>
    <w:rsid w:val="00346CFF"/>
    <w:pPr>
      <w:suppressLineNumbers/>
      <w:spacing w:before="120" w:after="120"/>
    </w:pPr>
    <w:rPr>
      <w:rFonts w:cs="Mangal"/>
      <w:i/>
      <w:iCs/>
    </w:rPr>
  </w:style>
  <w:style w:type="paragraph" w:styleId="a9">
    <w:name w:val="index heading"/>
    <w:basedOn w:val="a"/>
    <w:qFormat/>
    <w:rsid w:val="00346CFF"/>
    <w:pPr>
      <w:suppressLineNumbers/>
    </w:pPr>
    <w:rPr>
      <w:rFonts w:cs="Mangal"/>
    </w:rPr>
  </w:style>
  <w:style w:type="paragraph" w:styleId="aa">
    <w:name w:val="No Spacing"/>
    <w:uiPriority w:val="1"/>
    <w:qFormat/>
    <w:rsid w:val="006148FB"/>
    <w:rPr>
      <w:color w:val="00000A"/>
      <w:sz w:val="24"/>
    </w:rPr>
  </w:style>
  <w:style w:type="paragraph" w:styleId="ab">
    <w:name w:val="Title"/>
    <w:basedOn w:val="a"/>
    <w:qFormat/>
    <w:rsid w:val="00A215AF"/>
    <w:pPr>
      <w:jc w:val="center"/>
    </w:pPr>
    <w:rPr>
      <w:b/>
      <w:szCs w:val="20"/>
    </w:rPr>
  </w:style>
  <w:style w:type="paragraph" w:customStyle="1" w:styleId="ac">
    <w:name w:val="Таблицы (моноширинный)"/>
    <w:basedOn w:val="a"/>
    <w:qFormat/>
    <w:rsid w:val="00A215AF"/>
    <w:pPr>
      <w:widowControl w:val="0"/>
      <w:jc w:val="both"/>
    </w:pPr>
    <w:rPr>
      <w:rFonts w:ascii="Courier New" w:hAnsi="Courier New" w:cs="Courier New"/>
      <w:sz w:val="20"/>
      <w:szCs w:val="20"/>
    </w:rPr>
  </w:style>
  <w:style w:type="paragraph" w:customStyle="1" w:styleId="ConsPlusNonformat">
    <w:name w:val="ConsPlusNonformat"/>
    <w:qFormat/>
    <w:rsid w:val="00A215AF"/>
    <w:pPr>
      <w:widowControl w:val="0"/>
      <w:suppressAutoHyphens/>
      <w:spacing w:line="100" w:lineRule="atLeast"/>
    </w:pPr>
    <w:rPr>
      <w:rFonts w:ascii="Courier New" w:eastAsia="Times New Roman" w:hAnsi="Courier New" w:cs="Courier New"/>
      <w:color w:val="00000A"/>
      <w:szCs w:val="20"/>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86FB9-4FA7-45F5-81EF-6DE3860F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10707</TotalTime>
  <Pages>9</Pages>
  <Words>4102</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Новониколаевского городского пос </Company>
  <LinksUpToDate>false</LinksUpToDate>
  <CharactersWithSpaces>27436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Рябцева Вера Николаевна</dc:creator>
  <dc:description/>
  <cp:lastModifiedBy>Рябцева Вера Николаевна</cp:lastModifiedBy>
  <cp:revision>83</cp:revision>
  <cp:lastPrinted>2019-03-05T06:58:00Z</cp:lastPrinted>
  <dcterms:created xsi:type="dcterms:W3CDTF">2016-11-17T07:32:00Z</dcterms:created>
  <dcterms:modified xsi:type="dcterms:W3CDTF">2019-05-08T07:33:00Z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Новониколаевского городского пос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