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rPr>
        <w:t>ИЗВЕЩЕНИЕ</w:t>
      </w:r>
    </w:p>
    <w:p>
      <w:pPr>
        <w:pStyle w:val="Normal"/>
        <w:jc w:val="center"/>
        <w:rPr/>
      </w:pPr>
      <w:r>
        <w:rPr/>
        <w:t>о проведении открытого аукциона на право заключения договора аренды земельного участка, находящегося в государственной собственности (не разграниченной) на территории Новониколаевского городского поселения</w:t>
      </w:r>
    </w:p>
    <w:p>
      <w:pPr>
        <w:pStyle w:val="Normal"/>
        <w:suppressAutoHyphens w:val="false"/>
        <w:ind w:left="-709" w:firstLine="425"/>
        <w:jc w:val="center"/>
        <w:rPr/>
      </w:pPr>
      <w:r>
        <w:rPr/>
      </w:r>
    </w:p>
    <w:p>
      <w:pPr>
        <w:pStyle w:val="Normal"/>
        <w:ind w:left="-709" w:hanging="709"/>
        <w:jc w:val="both"/>
        <w:rPr/>
      </w:pPr>
      <w:r>
        <w:rPr/>
        <w:tab/>
        <w:t xml:space="preserve">     Организатор торгов, уполномоченный орган по проведению открытого аукциона — администрация Новониколаевского городского поселения Новониколаевского муниципального района Волгоградской области проводит торги в  соответствии со ст. 39.11, 39.12 Земельного кодекса Российской Федерации, постановлением администрации Новониколаевского городского поселения от 07.05.2018 года № </w:t>
      </w:r>
      <w:r>
        <w:rPr/>
        <w:t>127</w:t>
      </w:r>
      <w:r>
        <w:rPr>
          <w:color w:val="FF0000"/>
        </w:rPr>
        <w:t xml:space="preserve"> </w:t>
      </w:r>
      <w:r>
        <w:rPr/>
        <w:t>«О проведении открытого аукциона на право заключения договора аренды земельного участка, находящегося в государственной (неразграниченной)собственности, из земель населенных пунктов на территории Новониколаевского городского поселения».</w:t>
      </w:r>
    </w:p>
    <w:p>
      <w:pPr>
        <w:pStyle w:val="Normal"/>
        <w:ind w:left="-709" w:hanging="0"/>
        <w:jc w:val="both"/>
        <w:rPr/>
      </w:pPr>
      <w:r>
        <w:rPr>
          <w:b w:val="false"/>
          <w:bCs w:val="false"/>
        </w:rPr>
        <w:t>Предмет аукциона</w:t>
      </w:r>
      <w:r>
        <w:rPr/>
        <w:t xml:space="preserve">: право заключения договора аренды земельного участка. </w:t>
      </w:r>
    </w:p>
    <w:p>
      <w:pPr>
        <w:pStyle w:val="Normal"/>
        <w:ind w:left="-709" w:hanging="0"/>
        <w:jc w:val="both"/>
        <w:rPr/>
      </w:pPr>
      <w:r>
        <w:rPr/>
        <w:t xml:space="preserve">- лот № </w:t>
      </w:r>
      <w:r>
        <w:rPr>
          <w:b w:val="false"/>
          <w:bCs w:val="false"/>
        </w:rPr>
        <w:t>1</w:t>
      </w:r>
      <w:r>
        <w:rPr>
          <w:b/>
        </w:rPr>
        <w:t xml:space="preserve"> </w:t>
      </w:r>
      <w:r>
        <w:rPr/>
        <w:t xml:space="preserve">  - </w:t>
      </w:r>
      <w:r>
        <w:rPr>
          <w:b/>
        </w:rPr>
        <w:t xml:space="preserve"> </w:t>
      </w:r>
      <w:r>
        <w:rPr/>
        <w:t>адрес (описание местоположения):  земельный участок с кадастровым номером 34:20:030102:3195, местоположение: обл.Волгоградская, р-н Новониколаевский, р.п.Новониколаевский, ул.Молодежная, 40 в,  площадь участка 1000 кв.м., в границах указанных в кадастровом паспорте, вид разрешенного использования «для строительства индивидуального жилого дома», категория земель: земли населенных пунктов.</w:t>
      </w:r>
    </w:p>
    <w:p>
      <w:pPr>
        <w:pStyle w:val="Normal"/>
        <w:ind w:left="-709" w:hanging="0"/>
        <w:jc w:val="both"/>
        <w:rPr/>
      </w:pPr>
      <w:r>
        <w:rPr/>
      </w:r>
    </w:p>
    <w:tbl>
      <w:tblPr>
        <w:tblW w:w="9930" w:type="dxa"/>
        <w:jc w:val="left"/>
        <w:tblInd w:w="-656"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Look w:val="04a0"/>
      </w:tblPr>
      <w:tblGrid>
        <w:gridCol w:w="3737"/>
        <w:gridCol w:w="3192"/>
        <w:gridCol w:w="3001"/>
      </w:tblGrid>
      <w:tr>
        <w:trPr>
          <w:trHeight w:val="1448" w:hRule="atLeast"/>
        </w:trPr>
        <w:tc>
          <w:tcPr>
            <w:tcW w:w="373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ind w:right="-2" w:hanging="0"/>
              <w:jc w:val="center"/>
              <w:rPr/>
            </w:pPr>
            <w:r>
              <w:rPr/>
              <w:t>Начальная величина годовой арендной платы за земельный участок 1,5 % от кадастровой стоимости земельного участка), руб.</w:t>
            </w:r>
          </w:p>
        </w:tc>
        <w:tc>
          <w:tcPr>
            <w:tcW w:w="3192"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ind w:right="-2" w:hanging="0"/>
              <w:jc w:val="center"/>
              <w:rPr/>
            </w:pPr>
            <w:r>
              <w:rP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vAlign w:val="center"/>
          </w:tcPr>
          <w:p>
            <w:pPr>
              <w:pStyle w:val="Normal"/>
              <w:ind w:right="-2" w:hanging="0"/>
              <w:jc w:val="center"/>
              <w:rPr/>
            </w:pPr>
            <w:r>
              <w:rPr/>
              <w:t>Шаг аукциона, (3% от начальной стоимости права аренды), руб.</w:t>
            </w:r>
          </w:p>
        </w:tc>
      </w:tr>
      <w:tr>
        <w:trPr/>
        <w:tc>
          <w:tcPr>
            <w:tcW w:w="3737"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ind w:right="-2" w:hanging="0"/>
              <w:jc w:val="center"/>
              <w:rPr/>
            </w:pPr>
            <w:r>
              <w:rPr>
                <w:b/>
                <w:color w:val="000000"/>
              </w:rPr>
              <w:t>5 688,3</w:t>
            </w:r>
          </w:p>
        </w:tc>
        <w:tc>
          <w:tcPr>
            <w:tcW w:w="3192" w:type="dxa"/>
            <w:tcBorders>
              <w:top w:val="single" w:sz="4" w:space="0" w:color="000001"/>
              <w:left w:val="single" w:sz="4" w:space="0" w:color="000001"/>
              <w:bottom w:val="single" w:sz="4" w:space="0" w:color="000001"/>
              <w:insideH w:val="single" w:sz="4" w:space="0" w:color="000001"/>
            </w:tcBorders>
            <w:shd w:fill="auto" w:val="clear"/>
            <w:tcMar>
              <w:left w:w="48" w:type="dxa"/>
            </w:tcMar>
            <w:vAlign w:val="center"/>
          </w:tcPr>
          <w:p>
            <w:pPr>
              <w:pStyle w:val="Normal"/>
              <w:ind w:right="-2" w:hanging="0"/>
              <w:jc w:val="center"/>
              <w:rPr/>
            </w:pPr>
            <w:r>
              <w:rPr>
                <w:b/>
                <w:color w:val="000000"/>
              </w:rPr>
              <w:t>1137,66</w:t>
            </w:r>
          </w:p>
        </w:tc>
        <w:tc>
          <w:tcPr>
            <w:tcW w:w="30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8" w:type="dxa"/>
            </w:tcMar>
            <w:vAlign w:val="center"/>
          </w:tcPr>
          <w:p>
            <w:pPr>
              <w:pStyle w:val="Normal"/>
              <w:ind w:right="-2" w:hanging="0"/>
              <w:jc w:val="center"/>
              <w:rPr/>
            </w:pPr>
            <w:r>
              <w:rPr>
                <w:b/>
                <w:color w:val="000000"/>
              </w:rPr>
              <w:t>170,65</w:t>
            </w:r>
          </w:p>
        </w:tc>
      </w:tr>
    </w:tbl>
    <w:p>
      <w:pPr>
        <w:pStyle w:val="Style19"/>
        <w:spacing w:lineRule="atLeast" w:line="240" w:before="0" w:after="0"/>
        <w:ind w:left="-851" w:firstLine="539"/>
        <w:jc w:val="both"/>
        <w:rPr>
          <w:b/>
          <w:b/>
        </w:rPr>
      </w:pPr>
      <w:r>
        <w:rPr>
          <w:b/>
        </w:rPr>
      </w:r>
    </w:p>
    <w:p>
      <w:pPr>
        <w:pStyle w:val="Style19"/>
        <w:spacing w:lineRule="atLeast" w:line="240" w:before="0" w:after="0"/>
        <w:ind w:left="-851" w:firstLine="539"/>
        <w:jc w:val="both"/>
        <w:rPr/>
      </w:pPr>
      <w:r>
        <w:rPr>
          <w:b/>
        </w:rPr>
        <w:t>Электроснабжение:</w:t>
      </w:r>
    </w:p>
    <w:p>
      <w:pPr>
        <w:pStyle w:val="Style19"/>
        <w:spacing w:lineRule="atLeast" w:line="240" w:before="0" w:after="0"/>
        <w:ind w:left="-851" w:firstLine="539"/>
        <w:jc w:val="both"/>
        <w:rPr>
          <w:b/>
          <w:b/>
        </w:rPr>
      </w:pPr>
      <w:r>
        <w:rPr>
          <w:b/>
        </w:rPr>
      </w:r>
    </w:p>
    <w:p>
      <w:pPr>
        <w:pStyle w:val="Normal"/>
        <w:numPr>
          <w:ilvl w:val="0"/>
          <w:numId w:val="1"/>
        </w:numPr>
        <w:tabs>
          <w:tab w:val="left" w:pos="720" w:leader="none"/>
        </w:tabs>
        <w:spacing w:lineRule="auto" w:line="240"/>
        <w:ind w:left="-851" w:firstLine="540"/>
        <w:jc w:val="both"/>
        <w:rPr/>
      </w:pPr>
      <w:r>
        <w:rPr>
          <w:b w:val="false"/>
          <w:bCs w:val="false"/>
        </w:rPr>
        <w:t xml:space="preserve">Ближайшим питающим центром ПАО «МРСК Юга» с наличием резерва мощности по отношению к земельному участку, расположенному по адресу: Волгоградская область, Новониколаевский район, р.п.Новониколаевский, ул.Молодежная,40 в, с кадастровым номером 34:20:030102:3195 является ПС 110/10 кВ «Заводская».По состоянию на 30.12.2017 года фактический резерв мощности на ПС 110/10кВ «Заводская» составляет 5,82 МВт. </w:t>
      </w:r>
    </w:p>
    <w:p>
      <w:pPr>
        <w:pStyle w:val="Normal"/>
        <w:numPr>
          <w:ilvl w:val="0"/>
          <w:numId w:val="1"/>
        </w:numPr>
        <w:tabs>
          <w:tab w:val="left" w:pos="720" w:leader="none"/>
        </w:tabs>
        <w:spacing w:lineRule="auto" w:line="240"/>
        <w:ind w:left="-851" w:firstLine="540"/>
        <w:jc w:val="both"/>
        <w:rPr/>
      </w:pPr>
      <w:r>
        <w:rPr>
          <w:b w:val="false"/>
          <w:bCs w:val="false"/>
        </w:rPr>
        <w:t>Размер платы за технологическое присоединение на 2017 год установлен приказами комитета тарифного регулирования Волгоградской области №51/26 и 51/27 от 23.12.2016года.</w:t>
      </w:r>
    </w:p>
    <w:p>
      <w:pPr>
        <w:pStyle w:val="Normal"/>
        <w:numPr>
          <w:ilvl w:val="0"/>
          <w:numId w:val="1"/>
        </w:numPr>
        <w:tabs>
          <w:tab w:val="left" w:pos="720" w:leader="none"/>
        </w:tabs>
        <w:spacing w:lineRule="auto" w:line="240"/>
        <w:ind w:left="-851" w:firstLine="540"/>
        <w:jc w:val="both"/>
        <w:rPr/>
      </w:pPr>
      <w:r>
        <w:rPr>
          <w:b w:val="false"/>
          <w:bCs w:val="false"/>
        </w:rPr>
        <w:t>Срок действия технических условий согласно п.24 Правил не может составлять менее 2 лет и более 5 лет со дня заключения договора технологического присоединения.</w:t>
      </w:r>
    </w:p>
    <w:p>
      <w:pPr>
        <w:pStyle w:val="Normal"/>
        <w:numPr>
          <w:ilvl w:val="0"/>
          <w:numId w:val="1"/>
        </w:numPr>
        <w:tabs>
          <w:tab w:val="left" w:pos="720" w:leader="none"/>
        </w:tabs>
        <w:spacing w:lineRule="auto" w:line="240"/>
        <w:ind w:left="-851" w:firstLine="540"/>
        <w:jc w:val="both"/>
        <w:rPr>
          <w:b w:val="false"/>
          <w:b w:val="false"/>
          <w:bCs w:val="false"/>
        </w:rPr>
      </w:pPr>
      <w:r>
        <w:rPr>
          <w:b w:val="false"/>
          <w:bCs w:val="false"/>
        </w:rPr>
      </w:r>
    </w:p>
    <w:p>
      <w:pPr>
        <w:pStyle w:val="Normal"/>
        <w:spacing w:lineRule="auto" w:line="240"/>
        <w:ind w:left="-851" w:hanging="0"/>
        <w:jc w:val="both"/>
        <w:rPr/>
      </w:pPr>
      <w:r>
        <w:rPr>
          <w:b/>
        </w:rPr>
        <w:t xml:space="preserve">        </w:t>
      </w:r>
      <w:r>
        <w:rPr>
          <w:b/>
        </w:rPr>
        <w:t>Газификация:</w:t>
      </w:r>
    </w:p>
    <w:p>
      <w:pPr>
        <w:pStyle w:val="Normal"/>
        <w:spacing w:lineRule="auto" w:line="240"/>
        <w:ind w:left="-851" w:hanging="0"/>
        <w:jc w:val="both"/>
        <w:rPr>
          <w:b/>
          <w:b/>
        </w:rPr>
      </w:pPr>
      <w:r>
        <w:rPr>
          <w:b/>
        </w:rPr>
      </w:r>
    </w:p>
    <w:p>
      <w:pPr>
        <w:pStyle w:val="Normal"/>
        <w:spacing w:lineRule="auto" w:line="240"/>
        <w:ind w:left="-851" w:hanging="0"/>
        <w:jc w:val="both"/>
        <w:rPr/>
      </w:pPr>
      <w:r>
        <w:rPr>
          <w:b w:val="false"/>
          <w:bCs w:val="false"/>
        </w:rPr>
        <w:t xml:space="preserve">    </w:t>
      </w:r>
      <w:r>
        <w:rPr>
          <w:b w:val="false"/>
          <w:bCs w:val="false"/>
        </w:rPr>
        <w:t xml:space="preserve">Объект газификации: капитальное строительство, расположено по адресу: Волгоградская область, Новониколаевский район, р.п.Новониколаевский, ул.Молодежная,40 в. Техническая возможность подключения вышеуказанного объекта имеется от подземного газопровода низкого давления </w:t>
      </w:r>
      <w:r>
        <w:rPr>
          <w:rFonts w:eastAsia="Times New Roman" w:cs="Times New Roman"/>
          <w:b w:val="false"/>
          <w:bCs w:val="false"/>
        </w:rPr>
        <w:t>Ǿ63мм.</w:t>
      </w:r>
    </w:p>
    <w:p>
      <w:pPr>
        <w:pStyle w:val="Normal"/>
        <w:spacing w:lineRule="auto" w:line="240"/>
        <w:ind w:left="-851" w:hanging="0"/>
        <w:jc w:val="both"/>
        <w:rPr>
          <w:rFonts w:ascii="Times New Roman" w:hAnsi="Times New Roman" w:eastAsia="Times New Roman" w:cs="Times New Roman"/>
          <w:b w:val="false"/>
          <w:b w:val="false"/>
          <w:bCs w:val="false"/>
        </w:rPr>
      </w:pPr>
      <w:r>
        <w:rPr>
          <w:rFonts w:eastAsia="Times New Roman" w:cs="Times New Roman"/>
          <w:b w:val="false"/>
          <w:bCs w:val="false"/>
        </w:rPr>
      </w:r>
    </w:p>
    <w:p>
      <w:pPr>
        <w:pStyle w:val="Normal"/>
        <w:spacing w:lineRule="auto" w:line="240"/>
        <w:ind w:left="-851" w:hanging="0"/>
        <w:jc w:val="both"/>
        <w:rPr/>
      </w:pPr>
      <w:r>
        <w:rPr/>
        <w:t xml:space="preserve">        </w:t>
      </w:r>
      <w:r>
        <w:rPr>
          <w:b/>
          <w:bCs/>
        </w:rPr>
        <w:t>Водоснабжение:</w:t>
      </w:r>
    </w:p>
    <w:p>
      <w:pPr>
        <w:pStyle w:val="Normal"/>
        <w:spacing w:lineRule="auto" w:line="240"/>
        <w:ind w:left="-851" w:hanging="0"/>
        <w:jc w:val="both"/>
        <w:rPr>
          <w:b/>
          <w:b/>
          <w:bCs/>
        </w:rPr>
      </w:pPr>
      <w:r>
        <w:rPr>
          <w:b/>
          <w:bCs/>
        </w:rPr>
      </w:r>
    </w:p>
    <w:p>
      <w:pPr>
        <w:pStyle w:val="Normal"/>
        <w:spacing w:lineRule="auto" w:line="240"/>
        <w:ind w:left="-851" w:hanging="0"/>
        <w:jc w:val="both"/>
        <w:rPr>
          <w:b w:val="false"/>
          <w:b w:val="false"/>
          <w:bCs w:val="false"/>
        </w:rPr>
      </w:pPr>
      <w:r>
        <w:rPr>
          <w:b w:val="false"/>
          <w:bCs w:val="false"/>
        </w:rPr>
        <w:t xml:space="preserve">   </w:t>
      </w:r>
      <w:r>
        <w:rPr>
          <w:b w:val="false"/>
          <w:bCs w:val="false"/>
        </w:rPr>
        <w:t xml:space="preserve">Объект водоснабжения:капитальное строительство, расположено по адресу: Волгоградская область, Новониколаевский район,  р.п.Новониколаевский, ул.Молодежная, 40 в.Техническая возможность подключения вышеуказанного объекта имеется от существующего  водопровода (скважины) водонапорной башни «Восточная», точка подключения ул.Молодежная 40 в, в существующий колодец, существующий водопровод в точке подключения выполнен ПВХ, трубка диаметром 110 мм, заложенными на глубине 2,0м, напор в точке подключения к существующему водопроводу 1,5м.Врезку осуществляет только эксплуатационная организация, установит вентиль </w:t>
      </w:r>
      <w:r>
        <w:rPr>
          <w:b w:val="false"/>
          <w:bCs w:val="false"/>
          <w:lang w:val="en-US"/>
        </w:rPr>
        <w:t>D 25</w:t>
      </w:r>
      <w:r>
        <w:rPr>
          <w:b w:val="false"/>
          <w:bCs w:val="false"/>
          <w:lang w:val="ru-RU"/>
        </w:rPr>
        <w:t xml:space="preserve">мм.До врезки проложить трубу ПХВ </w:t>
      </w:r>
      <w:r>
        <w:rPr>
          <w:b w:val="false"/>
          <w:bCs w:val="false"/>
          <w:lang w:val="en-US"/>
        </w:rPr>
        <w:t>D</w:t>
      </w:r>
      <w:r>
        <w:rPr>
          <w:b w:val="false"/>
          <w:bCs w:val="false"/>
          <w:lang w:val="ru-RU"/>
        </w:rPr>
        <w:t>25 мм, установить водомер.В момент врезки иметь  в наличии седловое устройство и отключающее устройство.</w:t>
      </w:r>
    </w:p>
    <w:p>
      <w:pPr>
        <w:pStyle w:val="Normal"/>
        <w:spacing w:lineRule="auto" w:line="240"/>
        <w:ind w:left="-851" w:hanging="0"/>
        <w:jc w:val="both"/>
        <w:rPr/>
      </w:pPr>
      <w:r>
        <w:rPr>
          <w:b/>
        </w:rPr>
        <w:t xml:space="preserve">     </w:t>
      </w:r>
    </w:p>
    <w:p>
      <w:pPr>
        <w:pStyle w:val="Normal"/>
        <w:spacing w:lineRule="auto" w:line="240"/>
        <w:ind w:left="-851" w:right="-2" w:firstLine="284"/>
        <w:jc w:val="both"/>
        <w:rPr/>
      </w:pPr>
      <w:r>
        <w:rPr/>
        <w:t xml:space="preserve"> </w:t>
      </w:r>
      <w:r>
        <w:rPr/>
        <w:t xml:space="preserve">Прием заявок на участие в аукционе осуществляется по установленной организатором аукциона форме заявки (Приложение №1), по адресу: Волгоградская область, Новониколаевский район, р.п. Новониколаевский, ул. Народная, 128,  по рабочим дням с </w:t>
      </w:r>
      <w:r>
        <w:rPr>
          <w:b w:val="false"/>
          <w:bCs w:val="false"/>
          <w:color w:val="000000"/>
        </w:rPr>
        <w:t>09:00 15.05.2018 года до</w:t>
      </w:r>
      <w:r>
        <w:rPr>
          <w:b/>
          <w:color w:val="000000"/>
        </w:rPr>
        <w:t xml:space="preserve"> </w:t>
      </w:r>
      <w:r>
        <w:rPr>
          <w:b w:val="false"/>
          <w:bCs w:val="false"/>
          <w:color w:val="000000"/>
        </w:rPr>
        <w:t>16:00 13.06.2018</w:t>
      </w:r>
      <w:r>
        <w:rPr>
          <w:b w:val="false"/>
          <w:bCs w:val="false"/>
        </w:rPr>
        <w:t xml:space="preserve"> </w:t>
      </w:r>
      <w:r>
        <w:rPr/>
        <w:t>года включительно.</w:t>
      </w:r>
    </w:p>
    <w:p>
      <w:pPr>
        <w:pStyle w:val="Normal"/>
        <w:ind w:left="-851" w:right="-2" w:firstLine="284"/>
        <w:jc w:val="both"/>
        <w:rPr/>
      </w:pPr>
      <w:r>
        <w:rPr/>
        <w:t xml:space="preserve">Размер задатка для участия в аукционе по лоту  №  1  вносится на следующие реквизиты:      </w:t>
      </w:r>
    </w:p>
    <w:p>
      <w:pPr>
        <w:pStyle w:val="Normal"/>
        <w:ind w:left="-851" w:hanging="0"/>
        <w:jc w:val="both"/>
        <w:rPr>
          <w:b/>
          <w:b/>
          <w:bCs/>
        </w:rPr>
      </w:pPr>
      <w:r>
        <w:rPr/>
        <w:t xml:space="preserve">   </w:t>
      </w:r>
      <w:r>
        <w:rPr>
          <w:b w:val="false"/>
          <w:bCs w:val="false"/>
        </w:rPr>
        <w:t xml:space="preserve"> </w:t>
      </w:r>
      <w:r>
        <w:rPr>
          <w:b w:val="false"/>
          <w:bCs w:val="false"/>
        </w:rPr>
        <w:t>Получатель:</w:t>
      </w:r>
      <w:r>
        <w:rPr/>
        <w:t xml:space="preserve"> УФК по Волгоградской области(Администрация Новониколаевского городского поселения, Новониколаевского муниципального района Волгоградской области, л/с 05293031200),  ИНН </w:t>
      </w:r>
      <w:r>
        <w:rPr>
          <w:b w:val="false"/>
          <w:bCs w:val="false"/>
        </w:rPr>
        <w:t>3420009869, КПП 342001001, БИК 041806001,  р/сч.40302810500003000525</w:t>
      </w:r>
    </w:p>
    <w:p>
      <w:pPr>
        <w:pStyle w:val="Normal"/>
        <w:ind w:left="-851" w:hanging="0"/>
        <w:jc w:val="both"/>
        <w:rPr/>
      </w:pPr>
      <w:r>
        <w:rPr>
          <w:b w:val="false"/>
          <w:bCs w:val="false"/>
        </w:rPr>
        <w:t xml:space="preserve">Банк: отделение Волгоград, г. Волгоград. </w:t>
      </w:r>
    </w:p>
    <w:p>
      <w:pPr>
        <w:pStyle w:val="Normal"/>
        <w:ind w:left="-851" w:hanging="0"/>
        <w:jc w:val="both"/>
        <w:rPr>
          <w:b/>
          <w:b/>
          <w:bCs/>
        </w:rPr>
      </w:pPr>
      <w:r>
        <w:rPr/>
        <w:t xml:space="preserve">       </w:t>
      </w:r>
      <w:r>
        <w:rPr/>
        <w:t>Возвращение задатка осуществляется в соответствии с п.8 настоящего извещения.</w:t>
      </w:r>
    </w:p>
    <w:p>
      <w:pPr>
        <w:pStyle w:val="Normal"/>
        <w:ind w:left="-709" w:hanging="0"/>
        <w:jc w:val="both"/>
        <w:rPr/>
      </w:pPr>
      <w:r>
        <w:rPr>
          <w:b/>
          <w:bCs/>
        </w:rPr>
        <w:t xml:space="preserve">    </w:t>
      </w:r>
      <w:r>
        <w:rPr>
          <w:bCs/>
        </w:rPr>
        <w:t xml:space="preserve">Срок действия договора аренды земельного  участка - </w:t>
      </w:r>
      <w:r>
        <w:rPr>
          <w:bCs/>
          <w:color w:val="000000"/>
        </w:rPr>
        <w:t xml:space="preserve"> 20 (двадцать) лет.</w:t>
      </w:r>
    </w:p>
    <w:p>
      <w:pPr>
        <w:pStyle w:val="Normal"/>
        <w:ind w:left="-709" w:hanging="0"/>
        <w:jc w:val="both"/>
        <w:rPr/>
      </w:pPr>
      <w:r>
        <w:rPr>
          <w:bCs/>
          <w:color w:val="000000"/>
        </w:rPr>
        <w:t xml:space="preserve">          </w:t>
      </w:r>
      <w:r>
        <w:rPr>
          <w:bCs/>
          <w:color w:val="000000"/>
        </w:rPr>
        <w:t>Аукцион является открытым по составу участников.</w:t>
      </w:r>
    </w:p>
    <w:p>
      <w:pPr>
        <w:pStyle w:val="Normal"/>
        <w:ind w:left="-709" w:hanging="0"/>
        <w:jc w:val="both"/>
        <w:rPr/>
      </w:pPr>
      <w:r>
        <w:rPr>
          <w:b/>
        </w:rPr>
        <w:t xml:space="preserve">    </w:t>
      </w:r>
      <w:r>
        <w:rPr>
          <w:b w:val="false"/>
          <w:bCs w:val="false"/>
        </w:rPr>
        <w:t xml:space="preserve">Аукцион </w:t>
      </w:r>
      <w:r>
        <w:rPr/>
        <w:t xml:space="preserve">состоится по адресу: Волгоградская область, Новониколаевский район, р.п. Новониколаевский, улица Народная, 128, зал заседаний, в </w:t>
      </w:r>
      <w:r>
        <w:rPr>
          <w:b w:val="false"/>
          <w:bCs w:val="false"/>
        </w:rPr>
        <w:t xml:space="preserve">10 </w:t>
      </w:r>
      <w:r>
        <w:rPr>
          <w:b w:val="false"/>
          <w:bCs w:val="false"/>
          <w:color w:val="000000"/>
        </w:rPr>
        <w:t xml:space="preserve">час 00 мин. 15.06.2018 </w:t>
      </w:r>
      <w:r>
        <w:rPr>
          <w:b w:val="false"/>
          <w:bCs w:val="false"/>
        </w:rPr>
        <w:t>года</w:t>
      </w:r>
      <w:r>
        <w:rPr/>
        <w:t xml:space="preserve">                в следующем порядке:</w:t>
      </w:r>
    </w:p>
    <w:p>
      <w:pPr>
        <w:pStyle w:val="Normal"/>
        <w:suppressAutoHyphens w:val="false"/>
        <w:ind w:left="-709" w:firstLine="425"/>
        <w:jc w:val="both"/>
        <w:rPr/>
      </w:pPr>
      <w:r>
        <w:rPr/>
        <w:t>1. Для участия в аукционе заявители представляют в установленный в извещении о проведении аукциона срок следующие документы:</w:t>
      </w:r>
    </w:p>
    <w:p>
      <w:pPr>
        <w:pStyle w:val="Normal"/>
        <w:suppressAutoHyphens w:val="false"/>
        <w:ind w:left="-709" w:firstLine="425"/>
        <w:jc w:val="both"/>
        <w:rPr/>
      </w:pPr>
      <w:r>
        <w:rPr/>
        <w:t>1) заявка на участие в аукционе по установленной в извещении о проведении аукциона форме (Приложение № 1) с  указанием банковских реквизитов счета для возврата задатка;</w:t>
      </w:r>
    </w:p>
    <w:p>
      <w:pPr>
        <w:pStyle w:val="Normal"/>
        <w:suppressAutoHyphens w:val="false"/>
        <w:ind w:left="-709" w:firstLine="425"/>
        <w:jc w:val="both"/>
        <w:rPr/>
      </w:pPr>
      <w:r>
        <w:rPr/>
        <w:t>2) копии документов, удостоверяющих личность заявителя (для граждан);</w:t>
      </w:r>
    </w:p>
    <w:p>
      <w:pPr>
        <w:pStyle w:val="Normal"/>
        <w:suppressAutoHyphens w:val="false"/>
        <w:ind w:left="-709" w:firstLine="425"/>
        <w:jc w:val="both"/>
        <w:rPr/>
      </w:pPr>
      <w:r>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suppressAutoHyphens w:val="false"/>
        <w:ind w:left="-709" w:firstLine="425"/>
        <w:jc w:val="both"/>
        <w:rPr/>
      </w:pPr>
      <w:r>
        <w:rPr/>
        <w:t>4) документы, подтверждающие внесение задатка.</w:t>
      </w:r>
    </w:p>
    <w:p>
      <w:pPr>
        <w:pStyle w:val="Normal"/>
        <w:suppressAutoHyphens w:val="false"/>
        <w:ind w:left="-709" w:firstLine="425"/>
        <w:jc w:val="both"/>
        <w:rPr/>
      </w:pPr>
      <w:r>
        <w:rPr/>
        <w:t>2. Представление документов, подтверждающих внесение задатка, признается заключением соглашения о задатке.</w:t>
      </w:r>
    </w:p>
    <w:p>
      <w:pPr>
        <w:pStyle w:val="Normal"/>
        <w:suppressAutoHyphens w:val="false"/>
        <w:ind w:left="-709" w:firstLine="425"/>
        <w:jc w:val="both"/>
        <w:rPr/>
      </w:pPr>
      <w:r>
        <w:rPr/>
        <w:t>3. Один заявитель вправе подать только одну заявку на участие в аукционе.</w:t>
      </w:r>
    </w:p>
    <w:p>
      <w:pPr>
        <w:pStyle w:val="Normal"/>
        <w:suppressAutoHyphens w:val="false"/>
        <w:ind w:left="-709" w:firstLine="425"/>
        <w:jc w:val="both"/>
        <w:rPr/>
      </w:pPr>
      <w:r>
        <w:rPr/>
        <w:t>4. Заявка на участие в аукционе, поступившая по истечении срока приема заявок, возвращается заявителю в день ее поступления.</w:t>
      </w:r>
    </w:p>
    <w:p>
      <w:pPr>
        <w:pStyle w:val="Normal"/>
        <w:suppressAutoHyphens w:val="false"/>
        <w:ind w:left="-709" w:firstLine="425"/>
        <w:jc w:val="both"/>
        <w:rPr/>
      </w:pPr>
      <w:r>
        <w:rPr/>
        <w:t>5.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Normal"/>
        <w:suppressAutoHyphens w:val="false"/>
        <w:ind w:left="-709" w:firstLine="425"/>
        <w:jc w:val="both"/>
        <w:rPr/>
      </w:pPr>
      <w:bookmarkStart w:id="0" w:name="Par16"/>
      <w:bookmarkEnd w:id="0"/>
      <w:r>
        <w:rPr/>
        <w:t>6. Организатор аукциона ведет протокол рассмотрения заявок на участие в аукционе.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Normal"/>
        <w:suppressAutoHyphens w:val="false"/>
        <w:ind w:left="-709" w:firstLine="425"/>
        <w:jc w:val="both"/>
        <w:rPr/>
      </w:pPr>
      <w:r>
        <w:rPr/>
        <w:t>7.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pPr>
        <w:pStyle w:val="Normal"/>
        <w:suppressAutoHyphens w:val="false"/>
        <w:ind w:left="-709" w:firstLine="425"/>
        <w:jc w:val="both"/>
        <w:rPr/>
      </w:pPr>
      <w:r>
        <w:rPr/>
        <w:t xml:space="preserve">8. Организатор аукциона обязан вернуть заявителю, не допущенному к участию в аукционе, внесенный им задаток в течение </w:t>
      </w:r>
      <w:r>
        <w:rPr>
          <w:b/>
        </w:rPr>
        <w:t>трех рабочих дней</w:t>
      </w:r>
      <w:r>
        <w:rPr/>
        <w:t xml:space="preserve"> со дня оформления протокола приема заявок на участие в аукционе.</w:t>
      </w:r>
    </w:p>
    <w:p>
      <w:pPr>
        <w:pStyle w:val="Normal"/>
        <w:suppressAutoHyphens w:val="false"/>
        <w:ind w:left="-709" w:firstLine="425"/>
        <w:jc w:val="both"/>
        <w:rPr/>
      </w:pPr>
      <w:r>
        <w:rPr/>
        <w:t xml:space="preserve">9.В Новониколаевском городском поселении Новониколаевского муниципального района Волгоградской области заявитель может ознакомиться с технической и юридической документацией, в том числе с формой заявки на участие в торгах, проектом договора аренды земельного участка, получить информацию о местоположении участков для осмотра их на местности.Получить информацию о земельных участках также возможно на официальном сайте администрации Новониколаевского </w:t>
      </w:r>
      <w:r>
        <w:rPr>
          <w:lang w:val="ru-RU"/>
        </w:rPr>
        <w:t xml:space="preserve">городского поселения Новониколаевского </w:t>
      </w:r>
      <w:r>
        <w:rPr/>
        <w:t>муниципального района Волгоградской области «</w:t>
      </w:r>
      <w:r>
        <w:rPr>
          <w:lang w:val="en-US"/>
        </w:rPr>
        <w:t>novonik34.ru</w:t>
      </w:r>
      <w:r>
        <w:rPr/>
        <w:t xml:space="preserve">  и на официальном сайте Российской Федерации для размещения информации о проведении торгов </w:t>
      </w:r>
      <w:r>
        <w:rPr>
          <w:lang w:val="en-US"/>
        </w:rPr>
        <w:t>torgi.gov.ru.</w:t>
      </w:r>
      <w:r>
        <w:rPr>
          <w:lang w:val="ru-RU"/>
        </w:rPr>
        <w:t>Победитель аукциона, не реализовавший свое право на осмотр земельного участка и изучение его документации, лишается права предъявлять претензии к отделу по управлению муниципальным имуществом администрации Новониколаевского муниципального района Волгоградской области по поводу состояния предмета аукциона.</w:t>
      </w:r>
    </w:p>
    <w:p>
      <w:pPr>
        <w:pStyle w:val="Normal"/>
        <w:suppressAutoHyphens w:val="false"/>
        <w:ind w:left="-709" w:firstLine="425"/>
        <w:jc w:val="both"/>
        <w:rPr>
          <w:lang w:val="ru-RU"/>
        </w:rPr>
      </w:pPr>
      <w:r>
        <w:rPr>
          <w:lang w:val="ru-RU"/>
        </w:rPr>
        <w:t>10.Границы земельных участков указаны в выписках из Единого государственного реестра недвижимости, с которыми можно ознакомиться в отделе по управлению муниципальным имуществом администрации Новониколаевского муниципального района Волгоградской области, в справочно-информационном сервисе в сети интернет-публичной кадастровой карте.</w:t>
      </w:r>
    </w:p>
    <w:p>
      <w:pPr>
        <w:pStyle w:val="Normal"/>
        <w:suppressAutoHyphens w:val="false"/>
        <w:ind w:left="-709" w:firstLine="425"/>
        <w:jc w:val="both"/>
        <w:rPr>
          <w:lang w:val="ru-RU"/>
        </w:rPr>
      </w:pPr>
      <w:r>
        <w:rPr>
          <w:lang w:val="ru-RU"/>
        </w:rPr>
        <w:t>11.Администрация Новониколаевского городского поселения Новониколаевского муниципального района Волгоградской области принимает решение об отказе в проведении аукциона не позднее, чем за три дня до его проведения, в случае выявления обстоятельств, предусмотренных п.8 ст.39.11 Земельного кодекса Российской Федерации. Извещение об отказе в проведении аукциона размещается на официальном сайте администрацией Новониколаевского городского поселения Новониколаевского муниципального района Волгоградской области  в течение трех дней со дня принятия данного решения. Администрация Новониколаевского городского поселения Новониколаевского муниципального района Волгоградской области в течение трех дней со дня принятия решения об отказе в проведении аукциона обязано известить участников аукциона об отказе в проведении аукциона и возвратить его участникам внесенные задатки.</w:t>
      </w:r>
    </w:p>
    <w:p>
      <w:pPr>
        <w:pStyle w:val="Normal"/>
        <w:suppressAutoHyphens w:val="false"/>
        <w:ind w:left="-709" w:firstLine="425"/>
        <w:jc w:val="both"/>
        <w:rPr/>
      </w:pPr>
      <w:r>
        <w:rP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suppressAutoHyphens w:val="false"/>
        <w:ind w:left="-709" w:firstLine="425"/>
        <w:jc w:val="both"/>
        <w:rPr/>
      </w:pPr>
      <w:r>
        <w:rP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Normal"/>
        <w:suppressAutoHyphens w:val="false"/>
        <w:ind w:left="-709" w:firstLine="425"/>
        <w:jc w:val="both"/>
        <w:rPr/>
      </w:pPr>
      <w:bookmarkStart w:id="1" w:name="Par21"/>
      <w:bookmarkEnd w:id="1"/>
      <w:r>
        <w:rP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Normal"/>
        <w:suppressAutoHyphens w:val="false"/>
        <w:ind w:left="-709" w:firstLine="425"/>
        <w:jc w:val="both"/>
        <w:rPr/>
      </w:pPr>
      <w:r>
        <w:rPr/>
        <w:t>15.Аукцион проводится в следующем порядке:</w:t>
      </w:r>
    </w:p>
    <w:p>
      <w:pPr>
        <w:pStyle w:val="Normal"/>
        <w:suppressAutoHyphens w:val="false"/>
        <w:ind w:left="-709" w:firstLine="425"/>
        <w:jc w:val="both"/>
        <w:rPr/>
      </w:pPr>
      <w:r>
        <w:rPr/>
        <w:t xml:space="preserve">аукцион, открытый по форме подачи предложений о цене предмета аукциона; </w:t>
      </w:r>
    </w:p>
    <w:p>
      <w:pPr>
        <w:pStyle w:val="Normal"/>
        <w:suppressAutoHyphens w:val="false"/>
        <w:ind w:left="-709" w:firstLine="425"/>
        <w:jc w:val="both"/>
        <w:rPr/>
      </w:pPr>
      <w:r>
        <w:rPr/>
        <w:t>аукцион начинается с оглашения аукционистом наименования, основных характеристик, начальной цены и «шага аукциона»;</w:t>
      </w:r>
    </w:p>
    <w:p>
      <w:pPr>
        <w:pStyle w:val="Normal"/>
        <w:suppressAutoHyphens w:val="false"/>
        <w:ind w:left="-709" w:firstLine="425"/>
        <w:jc w:val="both"/>
        <w:rPr/>
      </w:pPr>
      <w:r>
        <w:rPr/>
        <w:t>после оглашения аукционистом начальной цены и каждой очередной цены, участники поднимают пронумерованные билеты в случае, если готов заключить договор аренды или договор купли-продажи в соответствии с этой ценой;</w:t>
      </w:r>
    </w:p>
    <w:p>
      <w:pPr>
        <w:pStyle w:val="Normal"/>
        <w:suppressAutoHyphens w:val="false"/>
        <w:ind w:left="-709" w:firstLine="425"/>
        <w:jc w:val="both"/>
        <w:rPr/>
      </w:pPr>
      <w:r>
        <w:rPr/>
        <w:t>билеты поднимаются не ниже уровня плеча и не опускаются до оглашения аукционистом номера билета участника;</w:t>
      </w:r>
    </w:p>
    <w:p>
      <w:pPr>
        <w:pStyle w:val="Normal"/>
        <w:suppressAutoHyphens w:val="false"/>
        <w:ind w:left="-709" w:firstLine="425"/>
        <w:jc w:val="both"/>
        <w:rPr/>
      </w:pPr>
      <w:r>
        <w:rPr/>
        <w:t xml:space="preserve">каждую последующую цену аукционист назначает путем увеличения текущей цены на «шаг аукциона» в размере 3 процентов начальной цены и не изменяется в течение всего аукциона; </w:t>
      </w:r>
    </w:p>
    <w:p>
      <w:pPr>
        <w:pStyle w:val="Normal"/>
        <w:suppressAutoHyphens w:val="false"/>
        <w:ind w:left="-709" w:firstLine="425"/>
        <w:jc w:val="both"/>
        <w:rPr/>
      </w:pPr>
      <w:r>
        <w:rPr/>
        <w:t>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после чего участники аукциона опускают билеты.Затем аукционист объявляет следующую цену в соответствии с «шагом аукциона»;</w:t>
      </w:r>
    </w:p>
    <w:p>
      <w:pPr>
        <w:pStyle w:val="Normal"/>
        <w:suppressAutoHyphens w:val="false"/>
        <w:ind w:left="-709" w:firstLine="425"/>
        <w:jc w:val="both"/>
        <w:rPr/>
      </w:pPr>
      <w:r>
        <w:rPr/>
        <w:t>участник вправе предложить более высокую цену предмета аукциона чем цена, объявленная аукционистом.В данном случае аукционист оглашает следующую цену «шага аукциона», которая не ниже цены, предложенной участником;</w:t>
      </w:r>
    </w:p>
    <w:p>
      <w:pPr>
        <w:pStyle w:val="Normal"/>
        <w:suppressAutoHyphens w:val="false"/>
        <w:ind w:left="-709" w:firstLine="425"/>
        <w:jc w:val="both"/>
        <w:rPr/>
      </w:pPr>
      <w:r>
        <w:rPr/>
        <w:t>если после троекратного объявления очередной цены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цену предмета аукциона;</w:t>
      </w:r>
    </w:p>
    <w:p>
      <w:pPr>
        <w:pStyle w:val="Normal"/>
        <w:suppressAutoHyphens w:val="false"/>
        <w:ind w:left="-709" w:firstLine="425"/>
        <w:jc w:val="both"/>
        <w:rPr/>
      </w:pPr>
      <w:r>
        <w:rPr/>
        <w:t>по  завершении аукциона аукционист объявляет о продаже права на заключение договора аренды или договора купли-продажи земельного участка, называет цену проданного земельного участка и номер билета победителя аукциона;</w:t>
      </w:r>
    </w:p>
    <w:p>
      <w:pPr>
        <w:pStyle w:val="Normal"/>
        <w:suppressAutoHyphens w:val="false"/>
        <w:ind w:left="-709" w:firstLine="425"/>
        <w:jc w:val="both"/>
        <w:rPr/>
      </w:pPr>
      <w:r>
        <w:rPr/>
        <w:t>до завершения проведения аукциона по конкретному лоту участники не покидают зал.</w:t>
      </w:r>
    </w:p>
    <w:p>
      <w:pPr>
        <w:pStyle w:val="Normal"/>
        <w:suppressAutoHyphens w:val="false"/>
        <w:ind w:left="-709" w:firstLine="425"/>
        <w:jc w:val="both"/>
        <w:rPr/>
      </w:pPr>
      <w:r>
        <w:rPr/>
        <w:t xml:space="preserve">16.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pPr>
        <w:pStyle w:val="Normal"/>
        <w:suppressAutoHyphens w:val="false"/>
        <w:ind w:left="-709" w:firstLine="425"/>
        <w:jc w:val="both"/>
        <w:rPr/>
      </w:pPr>
      <w:r>
        <w:rPr/>
        <w:t>17. Протокол о результатах аукциона размещается на официальном сайте в течение одного рабочего дня со дня подписания данного протокола.</w:t>
      </w:r>
    </w:p>
    <w:p>
      <w:pPr>
        <w:pStyle w:val="Normal"/>
        <w:suppressAutoHyphens w:val="false"/>
        <w:ind w:left="-709" w:firstLine="425"/>
        <w:jc w:val="both"/>
        <w:rPr/>
      </w:pPr>
      <w:r>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Normal"/>
        <w:suppressAutoHyphens w:val="false"/>
        <w:ind w:left="-709" w:firstLine="425"/>
        <w:jc w:val="both"/>
        <w:rPr/>
      </w:pPr>
      <w:r>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pStyle w:val="Normal"/>
        <w:suppressAutoHyphens w:val="false"/>
        <w:ind w:left="-709" w:firstLine="425"/>
        <w:jc w:val="both"/>
        <w:rPr/>
      </w:pPr>
      <w:bookmarkStart w:id="2" w:name="Par33"/>
      <w:bookmarkEnd w:id="2"/>
      <w:r>
        <w:rP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pPr>
        <w:pStyle w:val="Normal"/>
        <w:suppressAutoHyphens w:val="false"/>
        <w:ind w:left="-709" w:firstLine="425"/>
        <w:jc w:val="both"/>
        <w:rPr/>
      </w:pPr>
      <w:r>
        <w:rPr/>
        <w:t xml:space="preserve">21. 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r>
        <w:rPr>
          <w:rStyle w:val="Style14"/>
          <w:b w:val="false"/>
          <w:bCs w:val="false"/>
          <w:color w:val="000000"/>
          <w:u w:val="none"/>
        </w:rPr>
        <w:t>пунктом 10</w:t>
      </w:r>
      <w:r>
        <w:rPr>
          <w:b w:val="false"/>
          <w:bCs w:val="false"/>
          <w:color w:val="000000"/>
          <w:u w:val="none"/>
        </w:rPr>
        <w:t>,</w:t>
      </w:r>
      <w:r>
        <w:rPr/>
        <w:t xml:space="preserve"> </w:t>
      </w:r>
      <w:r>
        <w:rPr>
          <w:rStyle w:val="Style14"/>
          <w:color w:val="000000"/>
          <w:u w:val="none"/>
        </w:rPr>
        <w:t>11</w:t>
      </w:r>
      <w:r>
        <w:rPr>
          <w:u w:val="none"/>
        </w:rPr>
        <w:t xml:space="preserve"> и</w:t>
      </w:r>
      <w:r>
        <w:rPr/>
        <w:t xml:space="preserve">ли </w:t>
      </w:r>
      <w:r>
        <w:rPr>
          <w:rStyle w:val="Style14"/>
          <w:color w:val="000000"/>
          <w:u w:val="none"/>
        </w:rPr>
        <w:t>17</w:t>
      </w:r>
      <w:r>
        <w:rPr>
          <w:u w:val="none"/>
        </w:rPr>
        <w:t xml:space="preserve"> </w:t>
      </w:r>
      <w:r>
        <w:rPr/>
        <w:t>настоящего порядка,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pPr>
        <w:pStyle w:val="Normal"/>
        <w:suppressAutoHyphens w:val="false"/>
        <w:ind w:left="-709" w:firstLine="425"/>
        <w:jc w:val="both"/>
        <w:rPr/>
      </w:pPr>
      <w:bookmarkStart w:id="3" w:name="Par37"/>
      <w:bookmarkEnd w:id="3"/>
      <w:r>
        <w:rPr/>
        <w:t>22. 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pPr>
        <w:pStyle w:val="Normal"/>
        <w:suppressAutoHyphens w:val="false"/>
        <w:ind w:left="-709" w:firstLine="425"/>
        <w:jc w:val="both"/>
        <w:rPr/>
      </w:pPr>
      <w:bookmarkStart w:id="4" w:name="Par44"/>
      <w:bookmarkEnd w:id="4"/>
      <w:r>
        <w:rPr/>
        <w:t>23.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suppressAutoHyphens w:val="false"/>
        <w:ind w:left="-709" w:firstLine="425"/>
        <w:jc w:val="both"/>
        <w:rPr/>
      </w:pPr>
      <w:r>
        <w:rPr/>
        <w:t xml:space="preserve">24. В случае, если победитель аукциона или иное лицо, с которым договор аренды земельного участка заключается в соответствии с </w:t>
      </w:r>
      <w:r>
        <w:rPr>
          <w:rStyle w:val="Style14"/>
          <w:color w:val="000000"/>
          <w:u w:val="none"/>
        </w:rPr>
        <w:t>пунктом 10</w:t>
      </w:r>
      <w:r>
        <w:rPr>
          <w:color w:val="000000"/>
          <w:u w:val="none"/>
        </w:rPr>
        <w:t>,</w:t>
      </w:r>
      <w:r>
        <w:rPr/>
        <w:t xml:space="preserve"> </w:t>
      </w:r>
      <w:r>
        <w:rPr>
          <w:rStyle w:val="Style14"/>
          <w:color w:val="000000"/>
          <w:u w:val="none"/>
        </w:rPr>
        <w:t>11</w:t>
      </w:r>
      <w:r>
        <w:rPr/>
        <w:t xml:space="preserve"> или </w:t>
      </w:r>
      <w:r>
        <w:rPr>
          <w:rStyle w:val="Style14"/>
          <w:color w:val="000000"/>
          <w:u w:val="none"/>
        </w:rPr>
        <w:t>17</w:t>
      </w:r>
      <w:r>
        <w:rPr/>
        <w:t xml:space="preserve"> настоящего порядка,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r>
        <w:rPr>
          <w:rStyle w:val="Style14"/>
          <w:color w:val="000000"/>
          <w:u w:val="none"/>
        </w:rPr>
        <w:t>подпунктами</w:t>
      </w:r>
      <w:r>
        <w:rPr>
          <w:rStyle w:val="Style14"/>
          <w:u w:val="none"/>
        </w:rPr>
        <w:t xml:space="preserve"> </w:t>
      </w:r>
      <w:r>
        <w:rPr>
          <w:rStyle w:val="Style14"/>
          <w:color w:val="000000"/>
          <w:u w:val="none"/>
        </w:rPr>
        <w:t>1</w:t>
      </w:r>
      <w:r>
        <w:rPr/>
        <w:t xml:space="preserve"> - 3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suppressAutoHyphens w:val="false"/>
        <w:ind w:left="-709" w:firstLine="425"/>
        <w:jc w:val="both"/>
        <w:rPr/>
      </w:pPr>
      <w:r>
        <w:rPr/>
        <w:t xml:space="preserve">25. Внесение сведений о победителях аукциона, уклонившегося от заключения договора аренды земельного участка, или  об иных лицах с которыми заключается данный договор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r>
        <w:rPr>
          <w:rStyle w:val="Style14"/>
          <w:color w:val="000000"/>
          <w:u w:val="none"/>
        </w:rPr>
        <w:t>пунктом 32</w:t>
      </w:r>
      <w:r>
        <w:rPr/>
        <w:t xml:space="preserve"> статьи 39.12 Земельного Кодекса РФ, могут быть обжалованы заинтересованным лицом в судебном порядке.</w:t>
      </w:r>
    </w:p>
    <w:p>
      <w:pPr>
        <w:pStyle w:val="Normal"/>
        <w:suppressAutoHyphens w:val="false"/>
        <w:ind w:left="-709" w:firstLine="425"/>
        <w:jc w:val="both"/>
        <w:rPr>
          <w:i/>
          <w:i/>
          <w:color w:val="FF0000"/>
        </w:rPr>
      </w:pPr>
      <w:r>
        <w:rPr>
          <w:i/>
          <w:color w:val="FF0000"/>
        </w:rPr>
      </w:r>
    </w:p>
    <w:p>
      <w:pPr>
        <w:pStyle w:val="Normal"/>
        <w:ind w:left="-851" w:hanging="0"/>
        <w:jc w:val="both"/>
        <w:rPr/>
      </w:pPr>
      <w:r>
        <w:rPr/>
        <w:t xml:space="preserve">     </w:t>
      </w:r>
    </w:p>
    <w:p>
      <w:pPr>
        <w:pStyle w:val="Normal"/>
        <w:ind w:left="-851" w:hanging="0"/>
        <w:jc w:val="both"/>
        <w:rPr/>
      </w:pPr>
      <w:r>
        <w:rPr/>
        <w:t xml:space="preserve">  </w:t>
      </w:r>
      <w:r>
        <w:rPr/>
        <w:t>Глава Новониколаевского городского поселения                                                           А.В.Скопинцев</w:t>
      </w:r>
    </w:p>
    <w:p>
      <w:pPr>
        <w:pStyle w:val="Style24"/>
        <w:shd w:val="clear" w:color="auto" w:fill="FFFFFF"/>
        <w:rPr/>
      </w:pPr>
      <w:r>
        <w:rPr>
          <w:rFonts w:cs="Times New Roman" w:ascii="Times New Roman" w:hAnsi="Times New Roman"/>
          <w:sz w:val="21"/>
          <w:szCs w:val="21"/>
        </w:rPr>
        <w:t xml:space="preserve">                                           </w:t>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pPr>
      <w:r>
        <w:rPr>
          <w:rFonts w:cs="Times New Roman" w:ascii="Times New Roman" w:hAnsi="Times New Roman"/>
          <w:sz w:val="21"/>
          <w:szCs w:val="21"/>
        </w:rPr>
        <w:t xml:space="preserve">                                             </w:t>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color="auto" w:fill="FFFFFF"/>
        <w:rPr/>
      </w:pPr>
      <w:r>
        <w:rPr>
          <w:rFonts w:cs="Times New Roman" w:ascii="Times New Roman" w:hAnsi="Times New Roman"/>
          <w:sz w:val="21"/>
          <w:szCs w:val="21"/>
        </w:rPr>
        <w:t xml:space="preserve">                                          </w:t>
      </w:r>
    </w:p>
    <w:p>
      <w:pPr>
        <w:pStyle w:val="Style24"/>
        <w:shd w:val="clear" w:color="auto" w:fill="FFFFFF"/>
        <w:rPr/>
      </w:pPr>
      <w:r>
        <w:rPr>
          <w:rFonts w:cs="Times New Roman" w:ascii="Times New Roman" w:hAnsi="Times New Roman"/>
          <w:sz w:val="21"/>
          <w:szCs w:val="21"/>
        </w:rPr>
        <w:t xml:space="preserve">                                                </w:t>
      </w:r>
      <w:r>
        <w:rPr>
          <w:rStyle w:val="Style17"/>
          <w:rFonts w:cs="Times New Roman" w:ascii="Times New Roman" w:hAnsi="Times New Roman"/>
          <w:color w:val="000000"/>
          <w:sz w:val="21"/>
          <w:szCs w:val="21"/>
        </w:rPr>
        <w:t>ФОРМА ЗАЯВКИ НА УЧАСТИЕ В ТОРГАХ</w:t>
      </w:r>
    </w:p>
    <w:p>
      <w:pPr>
        <w:pStyle w:val="Style24"/>
        <w:shd w:val="clear" w:fill="FFFFFF"/>
        <w:jc w:val="center"/>
        <w:rPr/>
      </w:pPr>
      <w:r>
        <w:rPr>
          <w:rStyle w:val="Style17"/>
          <w:rFonts w:cs="Times New Roman" w:ascii="Times New Roman" w:hAnsi="Times New Roman"/>
          <w:color w:val="000000"/>
          <w:sz w:val="21"/>
          <w:szCs w:val="21"/>
        </w:rPr>
        <w:t>на право заключения договора аренды земельного участка</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_________________________________________________________________________________________</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t>(полное наименование юридического лица, ОГРН, ИНН)</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_________________________________________________________________________________________</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t>(Ф.И.О. - для физического лица)</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Банковские реквизиты: ________________________________________________________________________________</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Юридический адрес: __________________________________________________________________________________</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Адрес фактического местонахождения: ___________________________________________________________________,</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действующий на основании:_____________________________________________________________________________</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t>(серия, номер и дата выдачи паспорта -</w:t>
      </w:r>
    </w:p>
    <w:p>
      <w:pPr>
        <w:pStyle w:val="ConsPlusNonformat"/>
        <w:widowControl/>
        <w:shd w:val="clear" w:fill="FFFFFF"/>
        <w:rPr>
          <w:rFonts w:ascii="Times New Roman" w:hAnsi="Times New Roman" w:cs="Times New Roman"/>
          <w:sz w:val="21"/>
          <w:szCs w:val="21"/>
        </w:rPr>
      </w:pPr>
      <w:r>
        <w:rPr>
          <w:rFonts w:cs="Times New Roman" w:ascii="Times New Roman" w:hAnsi="Times New Roman"/>
          <w:sz w:val="21"/>
          <w:szCs w:val="21"/>
        </w:rPr>
        <w:t>_________________________________________________________________________________________</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t>для физических лиц)  (Устав, свидетельство о гос. регистрации юр. лица)</w:t>
      </w:r>
    </w:p>
    <w:p>
      <w:pPr>
        <w:pStyle w:val="ConsPlusNonformat"/>
        <w:widowControl/>
        <w:shd w:val="clear" w:fill="FFFFFF"/>
        <w:jc w:val="center"/>
        <w:rPr>
          <w:rFonts w:ascii="Times New Roman" w:hAnsi="Times New Roman" w:cs="Times New Roman"/>
          <w:sz w:val="21"/>
          <w:szCs w:val="21"/>
        </w:rPr>
      </w:pPr>
      <w:r>
        <w:rPr>
          <w:rFonts w:cs="Times New Roman" w:ascii="Times New Roman" w:hAnsi="Times New Roman"/>
          <w:sz w:val="21"/>
          <w:szCs w:val="21"/>
        </w:rPr>
      </w:r>
    </w:p>
    <w:p>
      <w:pPr>
        <w:pStyle w:val="Style24"/>
        <w:shd w:val="clear" w:fill="FFFFFF"/>
        <w:rPr/>
      </w:pPr>
      <w:r>
        <w:rPr>
          <w:rFonts w:cs="Times New Roman" w:ascii="Times New Roman" w:hAnsi="Times New Roman"/>
          <w:sz w:val="21"/>
          <w:szCs w:val="21"/>
        </w:rPr>
        <w:t>2. Изучив данные  информационного  сообщения о предмете торгов, ознакомившись  с  Порядком  проведения  торгов, мы, ниже подписавшиеся, уполномоченные на подписание заявки  согласны на данных условиях принять участие в торгах и  заключить  договор аренды  земельного участка, расположенного по адресу: Волгоградская обл., Новониколаевский район,</w:t>
      </w:r>
    </w:p>
    <w:p>
      <w:pPr>
        <w:pStyle w:val="Normal"/>
        <w:rPr>
          <w:sz w:val="21"/>
          <w:szCs w:val="21"/>
        </w:rPr>
      </w:pPr>
      <w:r>
        <w:rPr>
          <w:sz w:val="21"/>
          <w:szCs w:val="21"/>
        </w:rPr>
        <w:t>_________________________________________________________________________________________</w:t>
      </w:r>
    </w:p>
    <w:p>
      <w:pPr>
        <w:pStyle w:val="Normal"/>
        <w:jc w:val="center"/>
        <w:rPr>
          <w:sz w:val="21"/>
          <w:szCs w:val="21"/>
        </w:rPr>
      </w:pPr>
      <w:r>
        <w:rPr>
          <w:sz w:val="21"/>
          <w:szCs w:val="21"/>
        </w:rPr>
        <w:t>(адрес и полное наименование предмета торгов)</w:t>
      </w:r>
    </w:p>
    <w:p>
      <w:pPr>
        <w:pStyle w:val="Normal"/>
        <w:jc w:val="both"/>
        <w:rPr>
          <w:sz w:val="21"/>
          <w:szCs w:val="21"/>
        </w:rPr>
      </w:pPr>
      <w:r>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Регистрационный номер _________________.</w:t>
      </w:r>
    </w:p>
    <w:p>
      <w:pPr>
        <w:pStyle w:val="Normal"/>
        <w:jc w:val="both"/>
        <w:rPr>
          <w:sz w:val="21"/>
          <w:szCs w:val="21"/>
        </w:rPr>
      </w:pPr>
      <w:r>
        <w:rPr>
          <w:sz w:val="21"/>
          <w:szCs w:val="21"/>
        </w:rPr>
        <w:t>Номер лота _____________________________.</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3. В случае победы в торгах, принимаем на себя обязательства:</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3.1. Подписать протокол о результатах торгов в день их проведения;</w:t>
      </w:r>
    </w:p>
    <w:p>
      <w:pPr>
        <w:pStyle w:val="Normal"/>
        <w:shd w:val="clear" w:fill="FFFFFF"/>
        <w:jc w:val="both"/>
        <w:rPr>
          <w:sz w:val="21"/>
          <w:szCs w:val="21"/>
        </w:rPr>
      </w:pPr>
      <w:r>
        <w:rPr>
          <w:sz w:val="21"/>
          <w:szCs w:val="21"/>
        </w:rPr>
        <w:t xml:space="preserve">     </w:t>
      </w:r>
      <w:r>
        <w:rPr>
          <w:sz w:val="21"/>
          <w:szCs w:val="21"/>
        </w:rPr>
        <w:t>3.2.Подписать со своей стороны в 5-дневный срок с момента оформления протокола о результатах торгов договор аренды земельного участка.</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4. Мы согласны с тем,  что сумма внесенного нами задатка не возвращается и остается в распоряжении администрации Новониколаевского городского поселения, в случае:</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 признания нас победителем;</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 неподписания  нами в сроки,  установленные информационным сообщением, опубликованным в средствах массовой информации,  протокола о  результатах торгов, договора аренды;</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5. До  подписания  договора  аренды  земельного  участка настоящая заявка вместе с подписанным протоколом торгов имеет силу договора между нами.</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 xml:space="preserve">6. Банковские  реквизиты,  для перечисления суммы возвращаемого задатка в случае, если мы не станем победителем торгов:__________________________________________________________________________________ </w:t>
        <w:br/>
        <w:t>_________________________________________________________________________________________</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Задаток в сумме __________________________________________________________________________ рублей внесен</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"___" __________ 20___ г. _______________________________________________</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 xml:space="preserve">                                                  </w:t>
      </w:r>
      <w:r>
        <w:rPr>
          <w:rFonts w:cs="Times New Roman" w:ascii="Times New Roman" w:hAnsi="Times New Roman"/>
          <w:sz w:val="21"/>
          <w:szCs w:val="21"/>
        </w:rPr>
        <w:t>наименование и номер документа</w:t>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Дата ____________________      Подпись заявителя ________________________</w:t>
      </w:r>
    </w:p>
    <w:p>
      <w:pPr>
        <w:pStyle w:val="Normal"/>
        <w:shd w:val="clear" w:fill="FFFFFF"/>
        <w:rPr>
          <w:sz w:val="21"/>
          <w:szCs w:val="21"/>
        </w:rPr>
      </w:pPr>
      <w:r>
        <w:rPr>
          <w:sz w:val="21"/>
          <w:szCs w:val="21"/>
        </w:rPr>
      </w:r>
    </w:p>
    <w:p>
      <w:pPr>
        <w:pStyle w:val="Style24"/>
        <w:shd w:val="clear" w:fill="FFFFFF"/>
        <w:rPr>
          <w:rFonts w:ascii="Times New Roman" w:hAnsi="Times New Roman" w:cs="Times New Roman"/>
          <w:sz w:val="21"/>
          <w:szCs w:val="21"/>
        </w:rPr>
      </w:pPr>
      <w:r>
        <w:rPr>
          <w:rFonts w:cs="Times New Roman" w:ascii="Times New Roman" w:hAnsi="Times New Roman"/>
          <w:sz w:val="21"/>
          <w:szCs w:val="21"/>
        </w:rPr>
        <w:t>Дата и время приема заявки _____________________  Подпись ______</w:t>
      </w:r>
    </w:p>
    <w:p>
      <w:pPr>
        <w:pStyle w:val="Normal"/>
        <w:rPr>
          <w:sz w:val="21"/>
          <w:szCs w:val="21"/>
        </w:rPr>
      </w:pPr>
      <w:r>
        <w:rPr>
          <w:sz w:val="21"/>
          <w:szCs w:val="21"/>
        </w:rPr>
        <w:t>____________________________________________________________________________________</w:t>
      </w:r>
    </w:p>
    <w:p>
      <w:pPr>
        <w:pStyle w:val="Style24"/>
        <w:shd w:val="clear" w:color="auto" w:fill="FFFFFF"/>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0"/>
        <w:b w:val="false"/>
        <w:szCs w:val="20"/>
        <w:rFonts w:cs="Times New Roman"/>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15af"/>
    <w:pPr>
      <w:widowControl/>
      <w:suppressAutoHyphens w:val="true"/>
      <w:bidi w:val="0"/>
      <w:spacing w:lineRule="atLeast" w:line="100" w:before="0" w:after="0"/>
      <w:jc w:val="left"/>
    </w:pPr>
    <w:rPr>
      <w:rFonts w:ascii="Times New Roman" w:hAnsi="Times New Roman" w:eastAsia="Times New Roman" w:cs="Times New Roman"/>
      <w:color w:val="00000A"/>
      <w:sz w:val="24"/>
      <w:szCs w:val="24"/>
      <w:lang w:val="ru-RU" w:eastAsia="ar-SA" w:bidi="ar-SA"/>
    </w:rPr>
  </w:style>
  <w:style w:type="character" w:styleId="DefaultParagraphFont" w:default="1">
    <w:name w:val="Default Paragraph Font"/>
    <w:uiPriority w:val="1"/>
    <w:semiHidden/>
    <w:unhideWhenUsed/>
    <w:qFormat/>
    <w:rPr/>
  </w:style>
  <w:style w:type="character" w:styleId="Style14">
    <w:name w:val="Интернет-ссылка"/>
    <w:semiHidden/>
    <w:unhideWhenUsed/>
    <w:rsid w:val="00a215af"/>
    <w:rPr>
      <w:color w:val="000080"/>
      <w:u w:val="single"/>
    </w:rPr>
  </w:style>
  <w:style w:type="character" w:styleId="Style15" w:customStyle="1">
    <w:name w:val="Название Знак"/>
    <w:basedOn w:val="DefaultParagraphFont"/>
    <w:link w:val="a5"/>
    <w:qFormat/>
    <w:rsid w:val="00a215af"/>
    <w:rPr>
      <w:rFonts w:ascii="Times New Roman" w:hAnsi="Times New Roman" w:eastAsia="Times New Roman" w:cs="Times New Roman"/>
      <w:b/>
      <w:sz w:val="24"/>
      <w:szCs w:val="20"/>
      <w:lang w:eastAsia="ar-SA"/>
    </w:rPr>
  </w:style>
  <w:style w:type="character" w:styleId="Style16" w:customStyle="1">
    <w:name w:val="Основной текст Знак"/>
    <w:basedOn w:val="DefaultParagraphFont"/>
    <w:link w:val="a7"/>
    <w:semiHidden/>
    <w:qFormat/>
    <w:rsid w:val="00a215af"/>
    <w:rPr>
      <w:rFonts w:ascii="Times New Roman" w:hAnsi="Times New Roman" w:eastAsia="Times New Roman" w:cs="Times New Roman"/>
      <w:sz w:val="24"/>
      <w:szCs w:val="24"/>
      <w:lang w:eastAsia="ar-SA"/>
    </w:rPr>
  </w:style>
  <w:style w:type="character" w:styleId="Style17" w:customStyle="1">
    <w:name w:val="Цветовое выделение"/>
    <w:qFormat/>
    <w:rsid w:val="00a215af"/>
    <w:rPr>
      <w:b/>
      <w:bCs/>
      <w:color w:val="000080"/>
      <w:sz w:val="20"/>
      <w:szCs w:val="20"/>
    </w:rPr>
  </w:style>
  <w:style w:type="character" w:styleId="ListLabel1">
    <w:name w:val="ListLabel 1"/>
    <w:qFormat/>
    <w:rPr>
      <w:rFonts w:cs="Times New Roman"/>
      <w:sz w:val="20"/>
      <w:szCs w:val="20"/>
    </w:rPr>
  </w:style>
  <w:style w:type="character" w:styleId="ListLabel2">
    <w:name w:val="ListLabel 2"/>
    <w:qFormat/>
    <w:rPr>
      <w:rFonts w:cs="Times New Roman"/>
      <w:sz w:val="20"/>
      <w:szCs w:val="20"/>
    </w:rPr>
  </w:style>
  <w:style w:type="character" w:styleId="ListLabel3">
    <w:name w:val="ListLabel 3"/>
    <w:qFormat/>
    <w:rPr>
      <w:rFonts w:cs="Times New Roman"/>
      <w:sz w:val="20"/>
      <w:szCs w:val="20"/>
    </w:rPr>
  </w:style>
  <w:style w:type="character" w:styleId="ListLabel4">
    <w:name w:val="ListLabel 4"/>
    <w:qFormat/>
    <w:rPr>
      <w:rFonts w:cs="Times New Roman"/>
      <w:b w:val="false"/>
      <w:sz w:val="20"/>
      <w:szCs w:val="20"/>
    </w:rPr>
  </w:style>
  <w:style w:type="character" w:styleId="ListLabel5">
    <w:name w:val="ListLabel 5"/>
    <w:qFormat/>
    <w:rPr>
      <w:rFonts w:cs="Times New Roman"/>
      <w:b w:val="false"/>
      <w:sz w:val="20"/>
      <w:szCs w:val="20"/>
    </w:rPr>
  </w:style>
  <w:style w:type="character" w:styleId="ListLabel6">
    <w:name w:val="ListLabel 6"/>
    <w:qFormat/>
    <w:rPr>
      <w:rFonts w:cs="Times New Roman"/>
      <w:b w:val="false"/>
      <w:sz w:val="20"/>
      <w:szCs w:val="20"/>
    </w:rPr>
  </w:style>
  <w:style w:type="character" w:styleId="ListLabel7">
    <w:name w:val="ListLabel 7"/>
    <w:qFormat/>
    <w:rPr>
      <w:rFonts w:cs="Times New Roman"/>
      <w:b w:val="false"/>
      <w:sz w:val="20"/>
      <w:szCs w:val="20"/>
    </w:rPr>
  </w:style>
  <w:style w:type="character" w:styleId="ListLabel8">
    <w:name w:val="ListLabel 8"/>
    <w:qFormat/>
    <w:rPr>
      <w:rFonts w:cs="Times New Roman"/>
      <w:b w:val="false"/>
      <w:sz w:val="20"/>
      <w:szCs w:val="20"/>
    </w:rPr>
  </w:style>
  <w:style w:type="character" w:styleId="ListLabel9">
    <w:name w:val="ListLabel 9"/>
    <w:qFormat/>
    <w:rPr>
      <w:rFonts w:cs="Times New Roman"/>
      <w:b w:val="false"/>
      <w:sz w:val="20"/>
      <w:szCs w:val="20"/>
    </w:rPr>
  </w:style>
  <w:style w:type="character" w:styleId="ListLabel10">
    <w:name w:val="ListLabel 10"/>
    <w:qFormat/>
    <w:rPr>
      <w:rFonts w:cs="Times New Roman"/>
      <w:b w:val="false"/>
      <w:sz w:val="20"/>
      <w:szCs w:val="20"/>
    </w:rPr>
  </w:style>
  <w:style w:type="character" w:styleId="ListLabel11">
    <w:name w:val="ListLabel 11"/>
    <w:qFormat/>
    <w:rPr>
      <w:rFonts w:cs="Times New Roman"/>
      <w:b w:val="false"/>
      <w:sz w:val="20"/>
      <w:szCs w:val="20"/>
    </w:rPr>
  </w:style>
  <w:style w:type="paragraph" w:styleId="Style18">
    <w:name w:val="Заголовок"/>
    <w:basedOn w:val="Normal"/>
    <w:next w:val="Style19"/>
    <w:qFormat/>
    <w:pPr>
      <w:keepNext/>
      <w:spacing w:before="240" w:after="120"/>
    </w:pPr>
    <w:rPr>
      <w:rFonts w:ascii="Liberation Sans" w:hAnsi="Liberation Sans" w:eastAsia="Lucida Sans Unicode" w:cs="Mangal"/>
      <w:sz w:val="28"/>
      <w:szCs w:val="28"/>
    </w:rPr>
  </w:style>
  <w:style w:type="paragraph" w:styleId="Style19">
    <w:name w:val="Body Text"/>
    <w:basedOn w:val="Normal"/>
    <w:link w:val="a8"/>
    <w:semiHidden/>
    <w:unhideWhenUsed/>
    <w:rsid w:val="00a215af"/>
    <w:pPr>
      <w:spacing w:before="0" w:after="12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NoSpacing">
    <w:name w:val="No Spacing"/>
    <w:uiPriority w:val="1"/>
    <w:qFormat/>
    <w:rsid w:val="006148fb"/>
    <w:pPr>
      <w:widowControl/>
      <w:bidi w:val="0"/>
      <w:spacing w:lineRule="auto" w:line="240" w:before="0" w:after="0"/>
      <w:jc w:val="left"/>
    </w:pPr>
    <w:rPr>
      <w:rFonts w:ascii="Calibri" w:hAnsi="Calibri" w:eastAsia="Calibri" w:cs="" w:asciiTheme="minorHAnsi" w:cstheme="minorBidi" w:eastAsiaTheme="minorHAnsi" w:hAnsiTheme="minorHAnsi"/>
      <w:color w:val="00000A"/>
      <w:sz w:val="24"/>
      <w:szCs w:val="22"/>
      <w:lang w:val="ru-RU" w:eastAsia="en-US" w:bidi="ar-SA"/>
    </w:rPr>
  </w:style>
  <w:style w:type="paragraph" w:styleId="Style23">
    <w:name w:val="Title"/>
    <w:basedOn w:val="Normal"/>
    <w:link w:val="a6"/>
    <w:qFormat/>
    <w:rsid w:val="00a215af"/>
    <w:pPr>
      <w:jc w:val="center"/>
    </w:pPr>
    <w:rPr>
      <w:b/>
      <w:szCs w:val="20"/>
    </w:rPr>
  </w:style>
  <w:style w:type="paragraph" w:styleId="Style24" w:customStyle="1">
    <w:name w:val="Таблицы (моноширинный)"/>
    <w:basedOn w:val="Normal"/>
    <w:qFormat/>
    <w:rsid w:val="00a215af"/>
    <w:pPr>
      <w:widowControl w:val="false"/>
      <w:jc w:val="both"/>
    </w:pPr>
    <w:rPr>
      <w:rFonts w:ascii="Courier New" w:hAnsi="Courier New" w:cs="Courier New"/>
      <w:sz w:val="20"/>
      <w:szCs w:val="20"/>
    </w:rPr>
  </w:style>
  <w:style w:type="paragraph" w:styleId="ConsPlusNonformat" w:customStyle="1">
    <w:name w:val="ConsPlusNonformat"/>
    <w:qFormat/>
    <w:rsid w:val="00a215af"/>
    <w:pPr>
      <w:widowControl w:val="false"/>
      <w:suppressAutoHyphens w:val="true"/>
      <w:bidi w:val="0"/>
      <w:spacing w:lineRule="atLeast" w:line="100" w:before="0" w:after="0"/>
      <w:jc w:val="left"/>
    </w:pPr>
    <w:rPr>
      <w:rFonts w:ascii="Courier New" w:hAnsi="Courier New" w:eastAsia="Times New Roman" w:cs="Courier New"/>
      <w:color w:val="00000A"/>
      <w:sz w:val="20"/>
      <w:szCs w:val="20"/>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Application>LibreOffice/5.2.2.2$Windows_x86 LibreOffice_project/8f96e87c890bf8fa77463cd4b640a2312823f3ad</Application>
  <Pages>6</Pages>
  <Words>2289</Words>
  <Characters>17327</Characters>
  <CharactersWithSpaces>19982</CharactersWithSpaces>
  <Paragraphs>104</Paragraphs>
  <Company>Администрация Новониколаевского городского пос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2016-11-17T07:32:00Z</dcterms:created>
  <dc:creator>Рябцева Вера Николаевна</dc:creator>
  <dc:description/>
  <dc:language>ru-RU</dc:language>
  <cp:lastModifiedBy/>
  <cp:lastPrinted>2017-05-30T09:36:11Z</cp:lastPrinted>
  <dcterms:modified xsi:type="dcterms:W3CDTF">2018-05-08T08:55:38Z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Новониколаевского городского пос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